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e"/>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29312F" w14:paraId="5B8BDA8F" w14:textId="77777777">
        <w:tc>
          <w:tcPr>
            <w:tcW w:w="509" w:type="dxa"/>
          </w:tcPr>
          <w:p w14:paraId="0D85A106" w14:textId="77777777" w:rsidR="0029312F" w:rsidRDefault="00000000">
            <w:pPr>
              <w:pStyle w:val="affff6"/>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A7F2A6F" w14:textId="77777777" w:rsidR="0029312F" w:rsidRDefault="00000000">
            <w:pPr>
              <w:pStyle w:val="affff6"/>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27.120.20</w:t>
            </w:r>
            <w:r>
              <w:rPr>
                <w:rFonts w:ascii="黑体" w:eastAsia="黑体" w:hAnsi="黑体"/>
                <w:sz w:val="21"/>
                <w:szCs w:val="21"/>
              </w:rPr>
              <w:fldChar w:fldCharType="end"/>
            </w:r>
            <w:bookmarkEnd w:id="0"/>
          </w:p>
        </w:tc>
      </w:tr>
      <w:tr w:rsidR="0029312F" w14:paraId="5752E76D" w14:textId="77777777">
        <w:tc>
          <w:tcPr>
            <w:tcW w:w="509" w:type="dxa"/>
          </w:tcPr>
          <w:p w14:paraId="1F4C91EB" w14:textId="77777777" w:rsidR="0029312F"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e"/>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29312F" w14:paraId="63117F44" w14:textId="77777777">
              <w:trPr>
                <w:trHeight w:hRule="exact" w:val="1021"/>
              </w:trPr>
              <w:tc>
                <w:tcPr>
                  <w:tcW w:w="9242" w:type="dxa"/>
                  <w:vAlign w:val="center"/>
                </w:tcPr>
                <w:p w14:paraId="5786A269" w14:textId="77777777" w:rsidR="0029312F" w:rsidRDefault="00000000" w:rsidP="00B3554E">
                  <w:pPr>
                    <w:pStyle w:val="afffff6"/>
                    <w:framePr w:w="0" w:hRule="auto" w:wrap="auto" w:hAnchor="text" w:xAlign="left" w:yAlign="inline" w:anchorLock="0"/>
                    <w:ind w:left="420" w:right="624"/>
                    <w:rPr>
                      <w:rFonts w:ascii="宋体" w:hAnsi="宋体" w:hint="eastAsia"/>
                      <w:sz w:val="28"/>
                      <w:szCs w:val="28"/>
                    </w:rPr>
                  </w:pPr>
                  <w:r>
                    <w:rPr>
                      <w:noProof/>
                    </w:rPr>
                    <w:drawing>
                      <wp:inline distT="0" distB="0" distL="0" distR="0" wp14:anchorId="3FE7D798" wp14:editId="3C46B89D">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0252313" wp14:editId="2BBF40AF">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14:paraId="314C4DD6" w14:textId="77777777" w:rsidR="0029312F"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F</w:t>
            </w:r>
            <w:r>
              <w:rPr>
                <w:rFonts w:ascii="黑体" w:eastAsia="黑体" w:hAnsi="黑体" w:hint="eastAsia"/>
                <w:sz w:val="21"/>
                <w:szCs w:val="21"/>
              </w:rPr>
              <w:t>60/69</w:t>
            </w:r>
            <w:r>
              <w:rPr>
                <w:rFonts w:ascii="黑体" w:eastAsia="黑体" w:hAnsi="黑体"/>
                <w:sz w:val="21"/>
                <w:szCs w:val="21"/>
              </w:rPr>
              <w:t>     </w:t>
            </w:r>
            <w:r>
              <w:rPr>
                <w:rFonts w:ascii="黑体" w:eastAsia="黑体" w:hAnsi="黑体"/>
                <w:sz w:val="21"/>
                <w:szCs w:val="21"/>
              </w:rPr>
              <w:fldChar w:fldCharType="end"/>
            </w:r>
            <w:bookmarkEnd w:id="2"/>
          </w:p>
        </w:tc>
      </w:tr>
    </w:tbl>
    <w:bookmarkStart w:id="3" w:name="_Hlk26473981"/>
    <w:p w14:paraId="228534E3" w14:textId="77777777" w:rsidR="0029312F" w:rsidRDefault="00000000">
      <w:pPr>
        <w:pStyle w:val="afffff7"/>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6B4ABEB4" w14:textId="77777777" w:rsidR="0029312F" w:rsidRDefault="00000000">
      <w:pPr>
        <w:pStyle w:val="affffffffff9"/>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CNEA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202X</w:t>
      </w:r>
      <w:r>
        <w:fldChar w:fldCharType="end"/>
      </w:r>
      <w:bookmarkEnd w:id="7"/>
    </w:p>
    <w:p w14:paraId="2D830238" w14:textId="77777777" w:rsidR="0029312F" w:rsidRDefault="00000000">
      <w:pPr>
        <w:pStyle w:val="affffffffffa"/>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5F8D784" w14:textId="77777777" w:rsidR="0029312F"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3213691" wp14:editId="0C373B5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15E3B82C"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0670AD23" w14:textId="77777777" w:rsidR="0029312F" w:rsidRDefault="0029312F">
      <w:pPr>
        <w:pStyle w:val="afffff7"/>
        <w:framePr w:w="9639" w:h="6976" w:hRule="exact" w:hSpace="0" w:vSpace="0" w:wrap="around" w:hAnchor="page" w:y="6408"/>
        <w:jc w:val="center"/>
        <w:rPr>
          <w:rFonts w:ascii="黑体" w:eastAsia="黑体" w:hAnsi="黑体" w:hint="eastAsia"/>
          <w:b w:val="0"/>
          <w:bCs w:val="0"/>
          <w:w w:val="100"/>
        </w:rPr>
      </w:pPr>
    </w:p>
    <w:p w14:paraId="2BAEC473" w14:textId="77777777" w:rsidR="0029312F" w:rsidRDefault="00000000">
      <w:pPr>
        <w:pStyle w:val="affffffffffb"/>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压水堆核电厂反应堆压力容器辐照监督技术指南</w:t>
      </w:r>
      <w:r>
        <w:fldChar w:fldCharType="end"/>
      </w:r>
      <w:bookmarkEnd w:id="9"/>
    </w:p>
    <w:p w14:paraId="6AB3341C" w14:textId="77777777" w:rsidR="0029312F" w:rsidRDefault="0029312F">
      <w:pPr>
        <w:framePr w:w="9639" w:h="6974" w:hRule="exact" w:wrap="around" w:vAnchor="page" w:hAnchor="page" w:x="1419" w:y="6408" w:anchorLock="1"/>
        <w:ind w:left="-1418"/>
      </w:pPr>
    </w:p>
    <w:p w14:paraId="77E3092F" w14:textId="77777777" w:rsidR="0029312F" w:rsidRDefault="00000000">
      <w:pPr>
        <w:pStyle w:val="affffffff"/>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Technical Guide for Irradiation Surveillance of Reactor Pressure Vessels in Pressurized Water Reactor Nuclear Power Plants     </w:t>
      </w:r>
      <w:r>
        <w:rPr>
          <w:rFonts w:eastAsia="黑体"/>
          <w:szCs w:val="28"/>
        </w:rPr>
        <w:fldChar w:fldCharType="end"/>
      </w:r>
      <w:bookmarkEnd w:id="10"/>
    </w:p>
    <w:p w14:paraId="5BE4494F" w14:textId="77777777" w:rsidR="0029312F" w:rsidRDefault="0029312F">
      <w:pPr>
        <w:framePr w:w="9639" w:h="6974" w:hRule="exact" w:wrap="around" w:vAnchor="page" w:hAnchor="page" w:x="1419" w:y="6408" w:anchorLock="1"/>
        <w:spacing w:line="760" w:lineRule="exact"/>
        <w:ind w:left="-1418"/>
      </w:pPr>
    </w:p>
    <w:p w14:paraId="5FDD31A4" w14:textId="77777777" w:rsidR="0029312F" w:rsidRDefault="0029312F">
      <w:pPr>
        <w:pStyle w:val="affffffff"/>
        <w:framePr w:w="9639" w:h="6974" w:hRule="exact" w:wrap="around" w:vAnchor="page" w:hAnchor="page" w:x="1419" w:y="6408" w:anchorLock="1"/>
        <w:textAlignment w:val="bottom"/>
        <w:rPr>
          <w:rFonts w:eastAsia="黑体"/>
          <w:szCs w:val="28"/>
        </w:rPr>
      </w:pPr>
    </w:p>
    <w:p w14:paraId="43C64788" w14:textId="77777777" w:rsidR="0029312F" w:rsidRDefault="00000000">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28B2F5EA" w14:textId="77777777" w:rsidR="0029312F" w:rsidRDefault="00000000">
      <w:pPr>
        <w:pStyle w:val="affffffff"/>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2025</w:t>
      </w:r>
      <w:r>
        <w:rPr>
          <w:rFonts w:hint="eastAsia"/>
          <w:sz w:val="21"/>
          <w:szCs w:val="28"/>
        </w:rPr>
        <w:t>年</w:t>
      </w:r>
      <w:r>
        <w:rPr>
          <w:rFonts w:hint="eastAsia"/>
          <w:sz w:val="21"/>
          <w:szCs w:val="28"/>
        </w:rPr>
        <w:t>12</w:t>
      </w:r>
      <w:r>
        <w:rPr>
          <w:rFonts w:hint="eastAsia"/>
          <w:sz w:val="21"/>
          <w:szCs w:val="28"/>
        </w:rPr>
        <w:t>月</w:t>
      </w:r>
      <w:r>
        <w:rPr>
          <w:rFonts w:hint="eastAsia"/>
          <w:sz w:val="21"/>
          <w:szCs w:val="28"/>
        </w:rPr>
        <w:t>16</w:t>
      </w:r>
      <w:r>
        <w:rPr>
          <w:rFonts w:hint="eastAsia"/>
          <w:sz w:val="21"/>
          <w:szCs w:val="28"/>
        </w:rPr>
        <w:t>日）</w:t>
      </w:r>
      <w:r>
        <w:rPr>
          <w:sz w:val="21"/>
          <w:szCs w:val="28"/>
        </w:rPr>
        <w:fldChar w:fldCharType="end"/>
      </w:r>
      <w:bookmarkEnd w:id="12"/>
    </w:p>
    <w:p w14:paraId="7490CCC0" w14:textId="77777777" w:rsidR="0029312F" w:rsidRDefault="00000000">
      <w:pPr>
        <w:pStyle w:val="affffffff"/>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720BCB2C" w14:textId="77777777" w:rsidR="0029312F" w:rsidRDefault="00000000">
      <w:pPr>
        <w:pStyle w:val="affffffffff7"/>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497E46B4" w14:textId="77777777" w:rsidR="0029312F" w:rsidRDefault="00000000">
      <w:pPr>
        <w:pStyle w:val="affffffffff8"/>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C6B3AA4" w14:textId="77777777" w:rsidR="0029312F" w:rsidRDefault="00000000">
      <w:pPr>
        <w:pStyle w:val="afffffffff"/>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中国核能行业协会</w:t>
      </w:r>
      <w:r>
        <w:rPr>
          <w:rFonts w:hAnsi="黑体"/>
          <w:w w:val="100"/>
          <w:sz w:val="28"/>
        </w:rPr>
        <w:fldChar w:fldCharType="end"/>
      </w:r>
      <w:bookmarkEnd w:id="20"/>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08B5517D" w14:textId="77777777" w:rsidR="0029312F" w:rsidRDefault="00000000">
      <w:pPr>
        <w:rPr>
          <w:rFonts w:ascii="宋体" w:hAnsi="宋体" w:hint="eastAsia"/>
          <w:sz w:val="28"/>
          <w:szCs w:val="28"/>
        </w:rPr>
        <w:sectPr w:rsidR="0029312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DECF45D" wp14:editId="4667799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48EA9F8"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2F03ECD2" w14:textId="77777777" w:rsidR="0029312F" w:rsidRDefault="00000000">
      <w:pPr>
        <w:pStyle w:val="afffffff1"/>
        <w:spacing w:after="360"/>
      </w:pPr>
      <w:bookmarkStart w:id="21" w:name="BookMark1"/>
      <w:bookmarkStart w:id="22" w:name="_Toc216792849"/>
      <w:r>
        <w:rPr>
          <w:rFonts w:hint="eastAsia"/>
          <w:spacing w:val="320"/>
        </w:rPr>
        <w:lastRenderedPageBreak/>
        <w:t>目</w:t>
      </w:r>
      <w:r>
        <w:rPr>
          <w:rFonts w:hint="eastAsia"/>
        </w:rPr>
        <w:t>次</w:t>
      </w:r>
    </w:p>
    <w:p w14:paraId="44A107E9" w14:textId="77777777" w:rsidR="0029312F" w:rsidRDefault="00000000">
      <w:pPr>
        <w:pStyle w:val="TOC1"/>
        <w:tabs>
          <w:tab w:val="right" w:leader="dot" w:pos="9344"/>
        </w:tabs>
        <w:rPr>
          <w:rFonts w:asciiTheme="minorHAnsi" w:eastAsiaTheme="minorEastAsia" w:hAnsiTheme="minorHAnsi" w:cstheme="minorBidi" w:hint="eastAsia"/>
          <w:szCs w:val="22"/>
        </w:rPr>
      </w:pPr>
      <w:r>
        <w:fldChar w:fldCharType="begin"/>
      </w:r>
      <w:r>
        <w:instrText xml:space="preserve"> TOC \o "1-1" \h </w:instrText>
      </w:r>
      <w:r>
        <w:fldChar w:fldCharType="separate"/>
      </w:r>
      <w:hyperlink w:anchor="_Toc216792885" w:history="1">
        <w:r>
          <w:rPr>
            <w:rStyle w:val="afffff2"/>
            <w:rFonts w:hint="eastAsia"/>
          </w:rPr>
          <w:t>前言</w:t>
        </w:r>
        <w:r>
          <w:tab/>
        </w:r>
        <w:r>
          <w:fldChar w:fldCharType="begin"/>
        </w:r>
        <w:r>
          <w:instrText xml:space="preserve"> PAGEREF _Toc216792885 \h </w:instrText>
        </w:r>
        <w:r>
          <w:fldChar w:fldCharType="separate"/>
        </w:r>
        <w:r>
          <w:t>II</w:t>
        </w:r>
        <w:r>
          <w:fldChar w:fldCharType="end"/>
        </w:r>
      </w:hyperlink>
    </w:p>
    <w:p w14:paraId="70B94464" w14:textId="77777777" w:rsidR="0029312F" w:rsidRDefault="00000000">
      <w:pPr>
        <w:pStyle w:val="TOC1"/>
        <w:tabs>
          <w:tab w:val="right" w:leader="dot" w:pos="9344"/>
        </w:tabs>
        <w:rPr>
          <w:rFonts w:asciiTheme="minorHAnsi" w:eastAsiaTheme="minorEastAsia" w:hAnsiTheme="minorHAnsi" w:cstheme="minorBidi" w:hint="eastAsia"/>
          <w:szCs w:val="22"/>
        </w:rPr>
      </w:pPr>
      <w:hyperlink w:anchor="_Toc216792886" w:history="1">
        <w:r>
          <w:rPr>
            <w:rStyle w:val="afffff2"/>
          </w:rPr>
          <w:t xml:space="preserve">1 </w:t>
        </w:r>
        <w:r>
          <w:rPr>
            <w:rStyle w:val="afffff2"/>
            <w:rFonts w:hint="eastAsia"/>
          </w:rPr>
          <w:t xml:space="preserve"> 范围</w:t>
        </w:r>
        <w:r>
          <w:tab/>
        </w:r>
        <w:r>
          <w:fldChar w:fldCharType="begin"/>
        </w:r>
        <w:r>
          <w:instrText xml:space="preserve"> PAGEREF _Toc216792886 \h </w:instrText>
        </w:r>
        <w:r>
          <w:fldChar w:fldCharType="separate"/>
        </w:r>
        <w:r>
          <w:t>1</w:t>
        </w:r>
        <w:r>
          <w:fldChar w:fldCharType="end"/>
        </w:r>
      </w:hyperlink>
    </w:p>
    <w:p w14:paraId="0E81ACDD" w14:textId="77777777" w:rsidR="0029312F" w:rsidRDefault="00000000">
      <w:pPr>
        <w:pStyle w:val="TOC1"/>
        <w:tabs>
          <w:tab w:val="right" w:leader="dot" w:pos="9344"/>
        </w:tabs>
        <w:rPr>
          <w:rFonts w:asciiTheme="minorHAnsi" w:eastAsiaTheme="minorEastAsia" w:hAnsiTheme="minorHAnsi" w:cstheme="minorBidi" w:hint="eastAsia"/>
          <w:szCs w:val="22"/>
        </w:rPr>
      </w:pPr>
      <w:hyperlink w:anchor="_Toc216792887" w:history="1">
        <w:r>
          <w:rPr>
            <w:rStyle w:val="afffff2"/>
          </w:rPr>
          <w:t xml:space="preserve">2 </w:t>
        </w:r>
        <w:r>
          <w:rPr>
            <w:rStyle w:val="afffff2"/>
            <w:rFonts w:hint="eastAsia"/>
          </w:rPr>
          <w:t xml:space="preserve"> 规范性引用文件</w:t>
        </w:r>
        <w:r>
          <w:tab/>
        </w:r>
        <w:r>
          <w:fldChar w:fldCharType="begin"/>
        </w:r>
        <w:r>
          <w:instrText xml:space="preserve"> PAGEREF _Toc216792887 \h </w:instrText>
        </w:r>
        <w:r>
          <w:fldChar w:fldCharType="separate"/>
        </w:r>
        <w:r>
          <w:t>1</w:t>
        </w:r>
        <w:r>
          <w:fldChar w:fldCharType="end"/>
        </w:r>
      </w:hyperlink>
    </w:p>
    <w:p w14:paraId="1FD14991" w14:textId="77777777" w:rsidR="0029312F" w:rsidRDefault="00000000">
      <w:pPr>
        <w:pStyle w:val="TOC1"/>
        <w:tabs>
          <w:tab w:val="right" w:leader="dot" w:pos="9344"/>
        </w:tabs>
        <w:rPr>
          <w:rFonts w:asciiTheme="minorHAnsi" w:eastAsiaTheme="minorEastAsia" w:hAnsiTheme="minorHAnsi" w:cstheme="minorBidi" w:hint="eastAsia"/>
          <w:szCs w:val="22"/>
        </w:rPr>
      </w:pPr>
      <w:hyperlink w:anchor="_Toc216792888" w:history="1">
        <w:r>
          <w:rPr>
            <w:rStyle w:val="afffff2"/>
          </w:rPr>
          <w:t xml:space="preserve">3 </w:t>
        </w:r>
        <w:r>
          <w:rPr>
            <w:rStyle w:val="afffff2"/>
            <w:rFonts w:hint="eastAsia"/>
          </w:rPr>
          <w:t xml:space="preserve"> 术语和定义</w:t>
        </w:r>
        <w:r>
          <w:tab/>
        </w:r>
        <w:r>
          <w:fldChar w:fldCharType="begin"/>
        </w:r>
        <w:r>
          <w:instrText xml:space="preserve"> PAGEREF _Toc216792888 \h </w:instrText>
        </w:r>
        <w:r>
          <w:fldChar w:fldCharType="separate"/>
        </w:r>
        <w:r>
          <w:t>1</w:t>
        </w:r>
        <w:r>
          <w:fldChar w:fldCharType="end"/>
        </w:r>
      </w:hyperlink>
    </w:p>
    <w:p w14:paraId="3B000AC1" w14:textId="77777777" w:rsidR="0029312F" w:rsidRDefault="00000000">
      <w:pPr>
        <w:pStyle w:val="TOC1"/>
        <w:tabs>
          <w:tab w:val="right" w:leader="dot" w:pos="9344"/>
        </w:tabs>
        <w:rPr>
          <w:rFonts w:asciiTheme="minorHAnsi" w:eastAsiaTheme="minorEastAsia" w:hAnsiTheme="minorHAnsi" w:cstheme="minorBidi" w:hint="eastAsia"/>
          <w:szCs w:val="22"/>
        </w:rPr>
      </w:pPr>
      <w:hyperlink w:anchor="_Toc216792889" w:history="1">
        <w:r>
          <w:rPr>
            <w:rStyle w:val="afffff2"/>
          </w:rPr>
          <w:t xml:space="preserve">4 </w:t>
        </w:r>
        <w:r>
          <w:rPr>
            <w:rStyle w:val="afffff2"/>
            <w:rFonts w:hint="eastAsia"/>
          </w:rPr>
          <w:t xml:space="preserve"> 辐照监督大纲制定</w:t>
        </w:r>
        <w:r>
          <w:tab/>
        </w:r>
        <w:r>
          <w:fldChar w:fldCharType="begin"/>
        </w:r>
        <w:r>
          <w:instrText xml:space="preserve"> PAGEREF _Toc216792889 \h </w:instrText>
        </w:r>
        <w:r>
          <w:fldChar w:fldCharType="separate"/>
        </w:r>
        <w:r>
          <w:t>1</w:t>
        </w:r>
        <w:r>
          <w:fldChar w:fldCharType="end"/>
        </w:r>
      </w:hyperlink>
    </w:p>
    <w:p w14:paraId="0BA9681B" w14:textId="77777777" w:rsidR="0029312F" w:rsidRDefault="00000000">
      <w:pPr>
        <w:pStyle w:val="TOC1"/>
        <w:tabs>
          <w:tab w:val="right" w:leader="dot" w:pos="9344"/>
        </w:tabs>
        <w:rPr>
          <w:rFonts w:asciiTheme="minorHAnsi" w:eastAsiaTheme="minorEastAsia" w:hAnsiTheme="minorHAnsi" w:cstheme="minorBidi" w:hint="eastAsia"/>
          <w:szCs w:val="22"/>
        </w:rPr>
      </w:pPr>
      <w:hyperlink w:anchor="_Toc216792890" w:history="1">
        <w:r>
          <w:rPr>
            <w:rStyle w:val="afffff2"/>
          </w:rPr>
          <w:t xml:space="preserve">5 </w:t>
        </w:r>
        <w:r>
          <w:rPr>
            <w:rStyle w:val="afffff2"/>
            <w:rFonts w:hint="eastAsia"/>
          </w:rPr>
          <w:t xml:space="preserve"> 辐照监督材料</w:t>
        </w:r>
        <w:r>
          <w:tab/>
        </w:r>
        <w:r>
          <w:fldChar w:fldCharType="begin"/>
        </w:r>
        <w:r>
          <w:instrText xml:space="preserve"> PAGEREF _Toc216792890 \h </w:instrText>
        </w:r>
        <w:r>
          <w:fldChar w:fldCharType="separate"/>
        </w:r>
        <w:r>
          <w:t>2</w:t>
        </w:r>
        <w:r>
          <w:fldChar w:fldCharType="end"/>
        </w:r>
      </w:hyperlink>
    </w:p>
    <w:p w14:paraId="7D0B8D0D" w14:textId="77777777" w:rsidR="0029312F" w:rsidRDefault="00000000">
      <w:pPr>
        <w:pStyle w:val="TOC1"/>
        <w:tabs>
          <w:tab w:val="right" w:leader="dot" w:pos="9344"/>
        </w:tabs>
        <w:rPr>
          <w:rFonts w:asciiTheme="minorHAnsi" w:eastAsiaTheme="minorEastAsia" w:hAnsiTheme="minorHAnsi" w:cstheme="minorBidi" w:hint="eastAsia"/>
          <w:szCs w:val="22"/>
        </w:rPr>
      </w:pPr>
      <w:hyperlink w:anchor="_Toc216792891" w:history="1">
        <w:r>
          <w:rPr>
            <w:rStyle w:val="afffff2"/>
          </w:rPr>
          <w:t xml:space="preserve">6 </w:t>
        </w:r>
        <w:r>
          <w:rPr>
            <w:rStyle w:val="afffff2"/>
            <w:rFonts w:hint="eastAsia"/>
          </w:rPr>
          <w:t xml:space="preserve"> 辐照监督管设计</w:t>
        </w:r>
        <w:r>
          <w:tab/>
        </w:r>
        <w:r>
          <w:fldChar w:fldCharType="begin"/>
        </w:r>
        <w:r>
          <w:instrText xml:space="preserve"> PAGEREF _Toc216792891 \h </w:instrText>
        </w:r>
        <w:r>
          <w:fldChar w:fldCharType="separate"/>
        </w:r>
        <w:r>
          <w:t>2</w:t>
        </w:r>
        <w:r>
          <w:fldChar w:fldCharType="end"/>
        </w:r>
      </w:hyperlink>
    </w:p>
    <w:p w14:paraId="3F2F233C" w14:textId="77777777" w:rsidR="0029312F" w:rsidRDefault="00000000">
      <w:pPr>
        <w:pStyle w:val="TOC1"/>
        <w:tabs>
          <w:tab w:val="right" w:leader="dot" w:pos="9344"/>
        </w:tabs>
        <w:rPr>
          <w:rFonts w:asciiTheme="minorHAnsi" w:eastAsiaTheme="minorEastAsia" w:hAnsiTheme="minorHAnsi" w:cstheme="minorBidi" w:hint="eastAsia"/>
          <w:szCs w:val="22"/>
        </w:rPr>
      </w:pPr>
      <w:hyperlink w:anchor="_Toc216792892" w:history="1">
        <w:r>
          <w:rPr>
            <w:rStyle w:val="afffff2"/>
          </w:rPr>
          <w:t xml:space="preserve">7 </w:t>
        </w:r>
        <w:r>
          <w:rPr>
            <w:rStyle w:val="afffff2"/>
            <w:rFonts w:hint="eastAsia"/>
          </w:rPr>
          <w:t xml:space="preserve"> 辐照监督管制造</w:t>
        </w:r>
        <w:r>
          <w:tab/>
        </w:r>
        <w:r>
          <w:fldChar w:fldCharType="begin"/>
        </w:r>
        <w:r>
          <w:instrText xml:space="preserve"> PAGEREF _Toc216792892 \h </w:instrText>
        </w:r>
        <w:r>
          <w:fldChar w:fldCharType="separate"/>
        </w:r>
        <w:r>
          <w:t>4</w:t>
        </w:r>
        <w:r>
          <w:fldChar w:fldCharType="end"/>
        </w:r>
      </w:hyperlink>
    </w:p>
    <w:p w14:paraId="0E6783D9" w14:textId="77777777" w:rsidR="0029312F" w:rsidRDefault="00000000">
      <w:pPr>
        <w:pStyle w:val="TOC1"/>
        <w:tabs>
          <w:tab w:val="right" w:leader="dot" w:pos="9344"/>
        </w:tabs>
        <w:rPr>
          <w:rFonts w:asciiTheme="minorHAnsi" w:eastAsiaTheme="minorEastAsia" w:hAnsiTheme="minorHAnsi" w:cstheme="minorBidi" w:hint="eastAsia"/>
          <w:szCs w:val="22"/>
        </w:rPr>
      </w:pPr>
      <w:hyperlink w:anchor="_Toc216792893" w:history="1">
        <w:r>
          <w:rPr>
            <w:rStyle w:val="afffff2"/>
          </w:rPr>
          <w:t xml:space="preserve">8 </w:t>
        </w:r>
        <w:r>
          <w:rPr>
            <w:rStyle w:val="afffff2"/>
            <w:rFonts w:hint="eastAsia"/>
          </w:rPr>
          <w:t xml:space="preserve"> 辐照监督管安装、提取与运输</w:t>
        </w:r>
        <w:r>
          <w:tab/>
        </w:r>
        <w:r>
          <w:fldChar w:fldCharType="begin"/>
        </w:r>
        <w:r>
          <w:instrText xml:space="preserve"> PAGEREF _Toc216792893 \h </w:instrText>
        </w:r>
        <w:r>
          <w:fldChar w:fldCharType="separate"/>
        </w:r>
        <w:r>
          <w:t>4</w:t>
        </w:r>
        <w:r>
          <w:fldChar w:fldCharType="end"/>
        </w:r>
      </w:hyperlink>
    </w:p>
    <w:p w14:paraId="3439E783" w14:textId="77777777" w:rsidR="0029312F" w:rsidRDefault="00000000">
      <w:pPr>
        <w:pStyle w:val="TOC1"/>
        <w:tabs>
          <w:tab w:val="right" w:leader="dot" w:pos="9344"/>
        </w:tabs>
        <w:rPr>
          <w:rFonts w:asciiTheme="minorHAnsi" w:eastAsiaTheme="minorEastAsia" w:hAnsiTheme="minorHAnsi" w:cstheme="minorBidi" w:hint="eastAsia"/>
          <w:szCs w:val="22"/>
        </w:rPr>
      </w:pPr>
      <w:hyperlink w:anchor="_Toc216792894" w:history="1">
        <w:r>
          <w:rPr>
            <w:rStyle w:val="afffff2"/>
          </w:rPr>
          <w:t xml:space="preserve">9 </w:t>
        </w:r>
        <w:r>
          <w:rPr>
            <w:rStyle w:val="afffff2"/>
            <w:rFonts w:hint="eastAsia"/>
          </w:rPr>
          <w:t xml:space="preserve"> 辐照监督管切割解体和样品检查</w:t>
        </w:r>
        <w:r>
          <w:tab/>
        </w:r>
        <w:r>
          <w:fldChar w:fldCharType="begin"/>
        </w:r>
        <w:r>
          <w:instrText xml:space="preserve"> PAGEREF _Toc216792894 \h </w:instrText>
        </w:r>
        <w:r>
          <w:fldChar w:fldCharType="separate"/>
        </w:r>
        <w:r>
          <w:t>5</w:t>
        </w:r>
        <w:r>
          <w:fldChar w:fldCharType="end"/>
        </w:r>
      </w:hyperlink>
    </w:p>
    <w:p w14:paraId="2C73519A" w14:textId="77777777" w:rsidR="0029312F" w:rsidRDefault="00000000">
      <w:pPr>
        <w:pStyle w:val="TOC1"/>
        <w:tabs>
          <w:tab w:val="right" w:leader="dot" w:pos="9344"/>
        </w:tabs>
        <w:rPr>
          <w:rFonts w:asciiTheme="minorHAnsi" w:eastAsiaTheme="minorEastAsia" w:hAnsiTheme="minorHAnsi" w:cstheme="minorBidi" w:hint="eastAsia"/>
          <w:szCs w:val="22"/>
        </w:rPr>
      </w:pPr>
      <w:hyperlink w:anchor="_Toc216792895" w:history="1">
        <w:r>
          <w:rPr>
            <w:rStyle w:val="afffff2"/>
          </w:rPr>
          <w:t xml:space="preserve">10 </w:t>
        </w:r>
        <w:r>
          <w:rPr>
            <w:rStyle w:val="afffff2"/>
            <w:rFonts w:hint="eastAsia"/>
          </w:rPr>
          <w:t xml:space="preserve"> 辐照监督试验</w:t>
        </w:r>
        <w:r>
          <w:tab/>
        </w:r>
        <w:r>
          <w:fldChar w:fldCharType="begin"/>
        </w:r>
        <w:r>
          <w:instrText xml:space="preserve"> PAGEREF _Toc216792895 \h </w:instrText>
        </w:r>
        <w:r>
          <w:fldChar w:fldCharType="separate"/>
        </w:r>
        <w:r>
          <w:t>6</w:t>
        </w:r>
        <w:r>
          <w:fldChar w:fldCharType="end"/>
        </w:r>
      </w:hyperlink>
    </w:p>
    <w:p w14:paraId="5F0E3F95" w14:textId="77777777" w:rsidR="0029312F" w:rsidRDefault="00000000">
      <w:pPr>
        <w:pStyle w:val="TOC1"/>
        <w:tabs>
          <w:tab w:val="right" w:leader="dot" w:pos="9344"/>
        </w:tabs>
        <w:rPr>
          <w:rFonts w:asciiTheme="minorHAnsi" w:eastAsiaTheme="minorEastAsia" w:hAnsiTheme="minorHAnsi" w:cstheme="minorBidi" w:hint="eastAsia"/>
          <w:szCs w:val="22"/>
        </w:rPr>
      </w:pPr>
      <w:hyperlink w:anchor="_Toc216792896" w:history="1">
        <w:r>
          <w:rPr>
            <w:rStyle w:val="afffff2"/>
          </w:rPr>
          <w:t xml:space="preserve">11 </w:t>
        </w:r>
        <w:r>
          <w:rPr>
            <w:rStyle w:val="afffff2"/>
            <w:rFonts w:hint="eastAsia"/>
          </w:rPr>
          <w:t xml:space="preserve"> 中子学参数计算和分析</w:t>
        </w:r>
        <w:r>
          <w:tab/>
        </w:r>
        <w:r>
          <w:fldChar w:fldCharType="begin"/>
        </w:r>
        <w:r>
          <w:instrText xml:space="preserve"> PAGEREF _Toc216792896 \h </w:instrText>
        </w:r>
        <w:r>
          <w:fldChar w:fldCharType="separate"/>
        </w:r>
        <w:r>
          <w:t>8</w:t>
        </w:r>
        <w:r>
          <w:fldChar w:fldCharType="end"/>
        </w:r>
      </w:hyperlink>
    </w:p>
    <w:p w14:paraId="40AA31A3" w14:textId="77777777" w:rsidR="0029312F" w:rsidRDefault="00000000">
      <w:pPr>
        <w:pStyle w:val="TOC1"/>
        <w:tabs>
          <w:tab w:val="right" w:leader="dot" w:pos="9344"/>
        </w:tabs>
        <w:rPr>
          <w:rFonts w:asciiTheme="minorHAnsi" w:eastAsiaTheme="minorEastAsia" w:hAnsiTheme="minorHAnsi" w:cstheme="minorBidi" w:hint="eastAsia"/>
          <w:szCs w:val="22"/>
        </w:rPr>
      </w:pPr>
      <w:hyperlink w:anchor="_Toc216792897" w:history="1">
        <w:r>
          <w:rPr>
            <w:rStyle w:val="afffff2"/>
          </w:rPr>
          <w:t xml:space="preserve">12 </w:t>
        </w:r>
        <w:r>
          <w:rPr>
            <w:rStyle w:val="afffff2"/>
            <w:rFonts w:hint="eastAsia"/>
          </w:rPr>
          <w:t xml:space="preserve"> 辐照监督结果分析</w:t>
        </w:r>
        <w:r>
          <w:tab/>
        </w:r>
        <w:r>
          <w:fldChar w:fldCharType="begin"/>
        </w:r>
        <w:r>
          <w:instrText xml:space="preserve"> PAGEREF _Toc216792897 \h </w:instrText>
        </w:r>
        <w:r>
          <w:fldChar w:fldCharType="separate"/>
        </w:r>
        <w:r>
          <w:t>8</w:t>
        </w:r>
        <w:r>
          <w:fldChar w:fldCharType="end"/>
        </w:r>
      </w:hyperlink>
    </w:p>
    <w:p w14:paraId="5C3F1361" w14:textId="77777777" w:rsidR="0029312F" w:rsidRDefault="00000000">
      <w:pPr>
        <w:pStyle w:val="TOC1"/>
        <w:tabs>
          <w:tab w:val="right" w:leader="dot" w:pos="9344"/>
        </w:tabs>
        <w:rPr>
          <w:rFonts w:asciiTheme="minorHAnsi" w:eastAsiaTheme="minorEastAsia" w:hAnsiTheme="minorHAnsi" w:cstheme="minorBidi" w:hint="eastAsia"/>
          <w:szCs w:val="22"/>
        </w:rPr>
      </w:pPr>
      <w:hyperlink w:anchor="_Toc216792898" w:history="1">
        <w:r>
          <w:rPr>
            <w:rStyle w:val="afffff2"/>
          </w:rPr>
          <w:t xml:space="preserve">13 </w:t>
        </w:r>
        <w:r>
          <w:rPr>
            <w:rStyle w:val="afffff2"/>
            <w:rFonts w:hint="eastAsia"/>
          </w:rPr>
          <w:t xml:space="preserve"> 反应堆压力容器材料辐照损伤评价</w:t>
        </w:r>
        <w:r>
          <w:tab/>
        </w:r>
        <w:r>
          <w:fldChar w:fldCharType="begin"/>
        </w:r>
        <w:r>
          <w:instrText xml:space="preserve"> PAGEREF _Toc216792898 \h </w:instrText>
        </w:r>
        <w:r>
          <w:fldChar w:fldCharType="separate"/>
        </w:r>
        <w:r>
          <w:t>9</w:t>
        </w:r>
        <w:r>
          <w:fldChar w:fldCharType="end"/>
        </w:r>
      </w:hyperlink>
    </w:p>
    <w:p w14:paraId="7AD74FEB" w14:textId="77777777" w:rsidR="0029312F" w:rsidRDefault="00000000">
      <w:pPr>
        <w:pStyle w:val="TOC1"/>
        <w:tabs>
          <w:tab w:val="right" w:leader="dot" w:pos="9344"/>
        </w:tabs>
        <w:rPr>
          <w:rFonts w:asciiTheme="minorHAnsi" w:eastAsiaTheme="minorEastAsia" w:hAnsiTheme="minorHAnsi" w:cstheme="minorBidi" w:hint="eastAsia"/>
          <w:szCs w:val="22"/>
        </w:rPr>
      </w:pPr>
      <w:hyperlink w:anchor="_Toc216792899" w:history="1">
        <w:r>
          <w:rPr>
            <w:rStyle w:val="afffff2"/>
          </w:rPr>
          <w:t xml:space="preserve">14 </w:t>
        </w:r>
        <w:r>
          <w:rPr>
            <w:rStyle w:val="afffff2"/>
            <w:rFonts w:hint="eastAsia"/>
          </w:rPr>
          <w:t xml:space="preserve"> 反应堆压力容器安全评价</w:t>
        </w:r>
        <w:r>
          <w:tab/>
        </w:r>
        <w:r>
          <w:fldChar w:fldCharType="begin"/>
        </w:r>
        <w:r>
          <w:instrText xml:space="preserve"> PAGEREF _Toc216792899 \h </w:instrText>
        </w:r>
        <w:r>
          <w:fldChar w:fldCharType="separate"/>
        </w:r>
        <w:r>
          <w:t>9</w:t>
        </w:r>
        <w:r>
          <w:fldChar w:fldCharType="end"/>
        </w:r>
      </w:hyperlink>
    </w:p>
    <w:p w14:paraId="3121E8DA" w14:textId="77777777" w:rsidR="0029312F" w:rsidRDefault="00000000">
      <w:pPr>
        <w:pStyle w:val="TOC1"/>
        <w:tabs>
          <w:tab w:val="right" w:leader="dot" w:pos="9344"/>
        </w:tabs>
        <w:rPr>
          <w:rFonts w:asciiTheme="minorHAnsi" w:eastAsiaTheme="minorEastAsia" w:hAnsiTheme="minorHAnsi" w:cstheme="minorBidi" w:hint="eastAsia"/>
          <w:szCs w:val="22"/>
        </w:rPr>
      </w:pPr>
      <w:hyperlink w:anchor="_Toc216792900" w:history="1">
        <w:r>
          <w:rPr>
            <w:rStyle w:val="afffff2"/>
          </w:rPr>
          <w:t xml:space="preserve">15 </w:t>
        </w:r>
        <w:r>
          <w:rPr>
            <w:rStyle w:val="afffff2"/>
            <w:rFonts w:hint="eastAsia"/>
          </w:rPr>
          <w:t xml:space="preserve"> 试验报告</w:t>
        </w:r>
        <w:r>
          <w:tab/>
        </w:r>
        <w:r>
          <w:fldChar w:fldCharType="begin"/>
        </w:r>
        <w:r>
          <w:instrText xml:space="preserve"> PAGEREF _Toc216792900 \h </w:instrText>
        </w:r>
        <w:r>
          <w:fldChar w:fldCharType="separate"/>
        </w:r>
        <w:r>
          <w:t>9</w:t>
        </w:r>
        <w:r>
          <w:fldChar w:fldCharType="end"/>
        </w:r>
      </w:hyperlink>
    </w:p>
    <w:p w14:paraId="7CEEBE0C" w14:textId="77777777" w:rsidR="0029312F" w:rsidRDefault="00000000">
      <w:pPr>
        <w:pStyle w:val="TOC1"/>
        <w:tabs>
          <w:tab w:val="right" w:leader="dot" w:pos="9344"/>
        </w:tabs>
        <w:rPr>
          <w:rFonts w:asciiTheme="minorHAnsi" w:eastAsiaTheme="minorEastAsia" w:hAnsiTheme="minorHAnsi" w:cstheme="minorBidi" w:hint="eastAsia"/>
          <w:szCs w:val="22"/>
        </w:rPr>
      </w:pPr>
      <w:hyperlink w:anchor="_Toc216792901" w:history="1">
        <w:r>
          <w:rPr>
            <w:rStyle w:val="afffff2"/>
            <w:rFonts w:hint="eastAsia"/>
          </w:rPr>
          <w:t>参考文献</w:t>
        </w:r>
        <w:r>
          <w:tab/>
        </w:r>
        <w:r>
          <w:fldChar w:fldCharType="begin"/>
        </w:r>
        <w:r>
          <w:instrText xml:space="preserve"> PAGEREF _Toc216792901 \h </w:instrText>
        </w:r>
        <w:r>
          <w:fldChar w:fldCharType="separate"/>
        </w:r>
        <w:r>
          <w:t>11</w:t>
        </w:r>
        <w:r>
          <w:fldChar w:fldCharType="end"/>
        </w:r>
      </w:hyperlink>
    </w:p>
    <w:p w14:paraId="6DFDBDCE" w14:textId="77777777" w:rsidR="0029312F" w:rsidRDefault="00000000">
      <w:pPr>
        <w:pStyle w:val="afffffff1"/>
        <w:spacing w:after="360"/>
        <w:sectPr w:rsidR="0029312F">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fldChar w:fldCharType="end"/>
      </w:r>
    </w:p>
    <w:p w14:paraId="3A6773F5" w14:textId="77777777" w:rsidR="0029312F" w:rsidRDefault="00000000">
      <w:pPr>
        <w:pStyle w:val="ac"/>
        <w:spacing w:before="560" w:after="360"/>
      </w:pPr>
      <w:bookmarkStart w:id="23" w:name="_Toc216792885"/>
      <w:bookmarkStart w:id="24" w:name="BookMark2"/>
      <w:bookmarkEnd w:id="21"/>
      <w:r>
        <w:rPr>
          <w:spacing w:val="320"/>
        </w:rPr>
        <w:lastRenderedPageBreak/>
        <w:t>前</w:t>
      </w:r>
      <w:r>
        <w:t>言</w:t>
      </w:r>
      <w:bookmarkEnd w:id="22"/>
      <w:bookmarkEnd w:id="23"/>
    </w:p>
    <w:p w14:paraId="2DD85C0A" w14:textId="77777777" w:rsidR="0029312F" w:rsidRDefault="00000000">
      <w:pPr>
        <w:pStyle w:val="afffffc"/>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604FC3E6" w14:textId="77777777" w:rsidR="0029312F" w:rsidRDefault="00000000">
      <w:pPr>
        <w:pStyle w:val="afffffc"/>
        <w:ind w:firstLine="420"/>
      </w:pPr>
      <w:bookmarkStart w:id="25" w:name="_Hlk108788980"/>
      <w:r>
        <w:rPr>
          <w:rFonts w:hint="eastAsia"/>
        </w:rPr>
        <w:t>请注意本文件的某些内容可能涉及专利。本文件的发布机构不承担识别专利的责任。</w:t>
      </w:r>
    </w:p>
    <w:p w14:paraId="6F1B2758" w14:textId="77777777" w:rsidR="0029312F" w:rsidRDefault="00000000">
      <w:pPr>
        <w:pStyle w:val="afffffc"/>
        <w:ind w:firstLine="420"/>
      </w:pPr>
      <w:bookmarkStart w:id="26" w:name="OLE_LINK63"/>
      <w:r>
        <w:rPr>
          <w:rFonts w:hint="eastAsia"/>
        </w:rPr>
        <w:t>本文件由中国核能行业协会提出并归口，</w:t>
      </w:r>
      <w:bookmarkStart w:id="27" w:name="_Hlk162354208"/>
      <w:bookmarkStart w:id="28" w:name="_Hlk162439117"/>
      <w:bookmarkStart w:id="29" w:name="OLE_LINK2"/>
      <w:r>
        <w:rPr>
          <w:rFonts w:hint="eastAsia"/>
        </w:rPr>
        <w:t>技术支持单位为上海核工程研究设计院股份有限公司、核工业标准化研究所、苏州热工研究院有限公司</w:t>
      </w:r>
      <w:bookmarkStart w:id="30" w:name="_Hlk211834075"/>
      <w:r>
        <w:rPr>
          <w:rFonts w:hint="eastAsia"/>
        </w:rPr>
        <w:t>、华能核能技术研究院有限公司</w:t>
      </w:r>
      <w:bookmarkEnd w:id="27"/>
      <w:r>
        <w:rPr>
          <w:rFonts w:hint="eastAsia"/>
        </w:rPr>
        <w:t>。</w:t>
      </w:r>
      <w:bookmarkEnd w:id="25"/>
      <w:bookmarkEnd w:id="26"/>
      <w:bookmarkEnd w:id="28"/>
      <w:bookmarkEnd w:id="29"/>
      <w:bookmarkEnd w:id="30"/>
    </w:p>
    <w:p w14:paraId="7FC13E2C" w14:textId="77777777" w:rsidR="0029312F" w:rsidRDefault="00000000">
      <w:pPr>
        <w:pStyle w:val="afffffc"/>
        <w:ind w:firstLine="420"/>
      </w:pPr>
      <w:r>
        <w:rPr>
          <w:rFonts w:hint="eastAsia"/>
        </w:rPr>
        <w:t>本文件起草单位：国核电站运行服务技术有限公司、</w:t>
      </w:r>
      <w:proofErr w:type="gramStart"/>
      <w:r>
        <w:rPr>
          <w:rFonts w:hint="eastAsia"/>
        </w:rPr>
        <w:t>生态环境部核与</w:t>
      </w:r>
      <w:proofErr w:type="gramEnd"/>
      <w:r>
        <w:rPr>
          <w:rFonts w:hint="eastAsia"/>
        </w:rPr>
        <w:t>辐射安全中心、国核示范电站有限责任公司、山东核电有限公司、国核湛江核电有限公司、</w:t>
      </w:r>
      <w:proofErr w:type="gramStart"/>
      <w:r>
        <w:rPr>
          <w:rFonts w:hint="eastAsia"/>
        </w:rPr>
        <w:t>中电投广西核电有限公司</w:t>
      </w:r>
      <w:proofErr w:type="gramEnd"/>
      <w:r>
        <w:rPr>
          <w:rFonts w:hint="eastAsia"/>
        </w:rPr>
        <w:t>、上海核工程研究设计院股份有限公司、中</w:t>
      </w:r>
      <w:proofErr w:type="gramStart"/>
      <w:r>
        <w:rPr>
          <w:rFonts w:hint="eastAsia"/>
        </w:rPr>
        <w:t>核运维技术</w:t>
      </w:r>
      <w:proofErr w:type="gramEnd"/>
      <w:r>
        <w:rPr>
          <w:rFonts w:hint="eastAsia"/>
        </w:rPr>
        <w:t>有限公司、大亚湾核电运营管理有限责任公司、中国原子能科学研究院、中国核动力研究设计院。</w:t>
      </w:r>
    </w:p>
    <w:p w14:paraId="337B0AB5" w14:textId="77777777" w:rsidR="0029312F" w:rsidRDefault="00000000">
      <w:pPr>
        <w:pStyle w:val="afffffc"/>
        <w:ind w:firstLine="420"/>
      </w:pPr>
      <w:r>
        <w:rPr>
          <w:rFonts w:hint="eastAsia"/>
        </w:rPr>
        <w:t>本文件主要起草人：张亚平、杨双亮、李国健、李劲松、郑会、初起宝、房永刚、操丰、吕阳、郑正、付忠明、王羽翀、褚英杰、龙笛、王弘昶、李清泉、李心刚、张长义、黄娟。</w:t>
      </w:r>
    </w:p>
    <w:p w14:paraId="12568AD0" w14:textId="77777777" w:rsidR="0029312F" w:rsidRDefault="00000000">
      <w:pPr>
        <w:pStyle w:val="afffffc"/>
        <w:ind w:firstLine="420"/>
      </w:pPr>
      <w:r>
        <w:t>本文件首次发布。</w:t>
      </w:r>
    </w:p>
    <w:p w14:paraId="1D1804DD" w14:textId="77777777" w:rsidR="0029312F" w:rsidRDefault="0029312F">
      <w:pPr>
        <w:pStyle w:val="afffffc"/>
        <w:ind w:firstLine="420"/>
      </w:pPr>
    </w:p>
    <w:p w14:paraId="3D7F47B6" w14:textId="77777777" w:rsidR="0029312F" w:rsidRDefault="0029312F">
      <w:pPr>
        <w:pStyle w:val="afffffc"/>
        <w:ind w:firstLine="420"/>
        <w:sectPr w:rsidR="0029312F">
          <w:pgSz w:w="11906" w:h="16838"/>
          <w:pgMar w:top="1928" w:right="1134" w:bottom="1134" w:left="1134" w:header="1418" w:footer="1134" w:gutter="284"/>
          <w:pgNumType w:fmt="upperRoman"/>
          <w:cols w:space="425"/>
          <w:formProt w:val="0"/>
          <w:docGrid w:linePitch="312"/>
        </w:sectPr>
      </w:pPr>
    </w:p>
    <w:p w14:paraId="56EED826" w14:textId="77777777" w:rsidR="0029312F" w:rsidRDefault="0029312F">
      <w:pPr>
        <w:spacing w:line="20" w:lineRule="exact"/>
        <w:jc w:val="center"/>
        <w:rPr>
          <w:rFonts w:ascii="黑体" w:eastAsia="黑体" w:hAnsi="黑体" w:hint="eastAsia"/>
          <w:sz w:val="32"/>
          <w:szCs w:val="32"/>
        </w:rPr>
      </w:pPr>
      <w:bookmarkStart w:id="31" w:name="BookMark4"/>
      <w:bookmarkEnd w:id="24"/>
    </w:p>
    <w:p w14:paraId="23E70B23" w14:textId="77777777" w:rsidR="0029312F" w:rsidRDefault="0029312F">
      <w:pPr>
        <w:spacing w:line="20" w:lineRule="exact"/>
        <w:jc w:val="center"/>
        <w:rPr>
          <w:rFonts w:ascii="黑体" w:eastAsia="黑体" w:hAnsi="黑体" w:hint="eastAsia"/>
          <w:sz w:val="32"/>
          <w:szCs w:val="32"/>
        </w:rPr>
      </w:pPr>
    </w:p>
    <w:bookmarkStart w:id="32" w:name="NEW_STAND_NAME" w:displacedByCustomXml="next"/>
    <w:sdt>
      <w:sdtPr>
        <w:tag w:val="NEW_STAND_NAME"/>
        <w:id w:val="595910757"/>
        <w:lock w:val="sdtLocked"/>
        <w:placeholder>
          <w:docPart w:val="56D8D0D366A34E7FB63AF0105B9560B4"/>
        </w:placeholder>
      </w:sdtPr>
      <w:sdtContent>
        <w:p w14:paraId="71A315AE" w14:textId="77777777" w:rsidR="0029312F" w:rsidRDefault="00000000">
          <w:pPr>
            <w:pStyle w:val="affffffffff"/>
            <w:spacing w:beforeLines="100" w:before="240" w:afterLines="220" w:after="528"/>
            <w:rPr>
              <w:rFonts w:hint="eastAsia"/>
            </w:rPr>
          </w:pPr>
          <w:r>
            <w:rPr>
              <w:rFonts w:hint="eastAsia"/>
            </w:rPr>
            <w:t>压水堆核电厂反应堆压力容器辐照监督技术指南</w:t>
          </w:r>
        </w:p>
      </w:sdtContent>
    </w:sdt>
    <w:p w14:paraId="1883977E" w14:textId="77777777" w:rsidR="0029312F" w:rsidRDefault="00000000">
      <w:pPr>
        <w:pStyle w:val="afff2"/>
        <w:spacing w:before="240" w:after="240"/>
      </w:pPr>
      <w:bookmarkStart w:id="33" w:name="_Toc17233333"/>
      <w:bookmarkStart w:id="34" w:name="_Toc17233325"/>
      <w:bookmarkStart w:id="35" w:name="_Toc216792850"/>
      <w:bookmarkStart w:id="36" w:name="_Toc26986530"/>
      <w:bookmarkStart w:id="37" w:name="_Toc97192964"/>
      <w:bookmarkStart w:id="38" w:name="_Toc216786827"/>
      <w:bookmarkStart w:id="39" w:name="_Toc216792886"/>
      <w:bookmarkStart w:id="40" w:name="_Toc24884211"/>
      <w:bookmarkStart w:id="41" w:name="_Toc26648465"/>
      <w:bookmarkStart w:id="42" w:name="_Toc24884218"/>
      <w:bookmarkStart w:id="43" w:name="_Toc26718930"/>
      <w:bookmarkStart w:id="44" w:name="_Toc26986771"/>
      <w:bookmarkEnd w:id="32"/>
      <w:r>
        <w:rPr>
          <w:rFonts w:hint="eastAsia"/>
        </w:rPr>
        <w:t>范围</w:t>
      </w:r>
      <w:bookmarkEnd w:id="33"/>
      <w:bookmarkEnd w:id="34"/>
      <w:bookmarkEnd w:id="35"/>
      <w:bookmarkEnd w:id="36"/>
      <w:bookmarkEnd w:id="37"/>
      <w:bookmarkEnd w:id="38"/>
      <w:bookmarkEnd w:id="39"/>
      <w:bookmarkEnd w:id="40"/>
      <w:bookmarkEnd w:id="41"/>
      <w:bookmarkEnd w:id="42"/>
      <w:bookmarkEnd w:id="43"/>
      <w:bookmarkEnd w:id="44"/>
    </w:p>
    <w:p w14:paraId="0B578A2E" w14:textId="77777777" w:rsidR="0029312F" w:rsidRDefault="00000000">
      <w:pPr>
        <w:pStyle w:val="affffffffffff1"/>
      </w:pPr>
      <w:bookmarkStart w:id="45" w:name="_Toc17233326"/>
      <w:bookmarkStart w:id="46" w:name="_Toc26648466"/>
      <w:bookmarkStart w:id="47" w:name="_Toc17233334"/>
      <w:bookmarkStart w:id="48" w:name="_Toc24884212"/>
      <w:bookmarkStart w:id="49" w:name="_Toc24884219"/>
      <w:r>
        <w:rPr>
          <w:rFonts w:hint="eastAsia"/>
        </w:rPr>
        <w:t>本文件规定了压水堆核电厂反应堆压力容器中子辐照监督与安全评价的通用要求及方法，内容包括辐照监督大纲制定、辐照监督管设计与制造、辐照监督管安装提取与运输、辐照监督管解体与样品检查、辐照监督试验与分析、反应堆压力容器安全评价等工作。</w:t>
      </w:r>
    </w:p>
    <w:p w14:paraId="385CAC2D" w14:textId="77777777" w:rsidR="0029312F" w:rsidRDefault="00000000">
      <w:pPr>
        <w:pStyle w:val="affffffffffff1"/>
      </w:pPr>
      <w:r>
        <w:rPr>
          <w:rFonts w:hint="eastAsia"/>
        </w:rPr>
        <w:t>本文件适用于压水堆核电厂反应堆压力容器辐照监督和评价。其他类型核电机组或反应堆的压力容器辐照监督工作可参照本文件执行。</w:t>
      </w:r>
    </w:p>
    <w:p w14:paraId="56460D4B" w14:textId="77777777" w:rsidR="0029312F" w:rsidRDefault="00000000">
      <w:pPr>
        <w:pStyle w:val="afff2"/>
        <w:spacing w:before="240" w:after="240"/>
      </w:pPr>
      <w:bookmarkStart w:id="50" w:name="_Toc26718931"/>
      <w:bookmarkStart w:id="51" w:name="_Toc216792887"/>
      <w:bookmarkStart w:id="52" w:name="_Toc216786828"/>
      <w:bookmarkStart w:id="53" w:name="_Toc26986772"/>
      <w:bookmarkStart w:id="54" w:name="_Toc216792851"/>
      <w:bookmarkStart w:id="55" w:name="_Toc97192965"/>
      <w:bookmarkStart w:id="56" w:name="_Toc26986531"/>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p>
    <w:sdt>
      <w:sdtPr>
        <w:rPr>
          <w:rFonts w:hint="eastAsia"/>
        </w:rPr>
        <w:id w:val="715848253"/>
        <w:placeholder>
          <w:docPart w:val="B6854DC3004448C1B7E4ABB621FFB18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878D302" w14:textId="77777777" w:rsidR="0029312F" w:rsidRDefault="00000000">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E43C89F" w14:textId="77777777" w:rsidR="0029312F" w:rsidRDefault="00000000">
      <w:pPr>
        <w:pStyle w:val="affffffffffff1"/>
      </w:pPr>
      <w:r>
        <w:rPr>
          <w:rFonts w:hint="eastAsia"/>
        </w:rPr>
        <w:t>NB/T 20220—2013</w:t>
      </w:r>
      <w:r>
        <w:t xml:space="preserve"> </w:t>
      </w:r>
      <w:r>
        <w:rPr>
          <w:rFonts w:hint="eastAsia"/>
        </w:rPr>
        <w:t>轻水冷却反应堆压力容器辐照监督</w:t>
      </w:r>
    </w:p>
    <w:p w14:paraId="79744DE1" w14:textId="77777777" w:rsidR="0029312F" w:rsidRDefault="00000000">
      <w:pPr>
        <w:pStyle w:val="afff2"/>
        <w:spacing w:before="240" w:after="240"/>
      </w:pPr>
      <w:bookmarkStart w:id="57" w:name="_Toc216792888"/>
      <w:bookmarkStart w:id="58" w:name="_Toc216792852"/>
      <w:bookmarkStart w:id="59" w:name="_Toc216786829"/>
      <w:bookmarkStart w:id="60" w:name="_Toc97192966"/>
      <w:r>
        <w:rPr>
          <w:rFonts w:hint="eastAsia"/>
          <w:szCs w:val="21"/>
        </w:rPr>
        <w:t>术语和定义</w:t>
      </w:r>
      <w:bookmarkEnd w:id="57"/>
      <w:bookmarkEnd w:id="58"/>
      <w:bookmarkEnd w:id="59"/>
      <w:bookmarkEnd w:id="60"/>
    </w:p>
    <w:bookmarkStart w:id="61" w:name="_Toc26986532" w:displacedByCustomXml="next"/>
    <w:bookmarkEnd w:id="61" w:displacedByCustomXml="next"/>
    <w:sdt>
      <w:sdtPr>
        <w:id w:val="-1909835108"/>
        <w:placeholder>
          <w:docPart w:val="A3D4EF7179ED42C6A59C48A36674160C"/>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DDCB3EF" w14:textId="77777777" w:rsidR="0029312F" w:rsidRDefault="00000000">
          <w:pPr>
            <w:pStyle w:val="affffffffffff1"/>
          </w:pPr>
          <w:r>
            <w:t>NB/T</w:t>
          </w:r>
          <w:r>
            <w:rPr>
              <w:rFonts w:hint="eastAsia"/>
            </w:rPr>
            <w:t xml:space="preserve"> 20220—2013</w:t>
          </w:r>
          <w:r>
            <w:t>界定的以及下列术语和定义适用于本文件。</w:t>
          </w:r>
        </w:p>
      </w:sdtContent>
    </w:sdt>
    <w:p w14:paraId="16EFDA21" w14:textId="77777777" w:rsidR="0029312F" w:rsidRDefault="00000000">
      <w:pPr>
        <w:pStyle w:val="afffffffffffb"/>
        <w:ind w:left="420" w:hangingChars="200" w:hanging="420"/>
        <w:rPr>
          <w:rFonts w:ascii="Times New Roman"/>
        </w:rPr>
      </w:pPr>
      <w:r>
        <w:rPr>
          <w:rFonts w:ascii="黑体" w:eastAsia="黑体" w:hAnsi="黑体"/>
        </w:rPr>
        <w:br/>
      </w:r>
      <w:r>
        <w:rPr>
          <w:rFonts w:ascii="黑体" w:eastAsia="黑体" w:hAnsi="黑体" w:hint="eastAsia"/>
        </w:rPr>
        <w:t>冷态试样 unirradiated</w:t>
      </w:r>
      <w:r>
        <w:rPr>
          <w:rFonts w:ascii="Times New Roman"/>
        </w:rPr>
        <w:t xml:space="preserve"> specimen</w:t>
      </w:r>
    </w:p>
    <w:p w14:paraId="0A8FD2AC" w14:textId="77777777" w:rsidR="0029312F" w:rsidRDefault="00000000">
      <w:pPr>
        <w:pStyle w:val="afffffc"/>
        <w:ind w:firstLine="420"/>
      </w:pPr>
      <w:r>
        <w:rPr>
          <w:rFonts w:hint="eastAsia"/>
        </w:rPr>
        <w:t>指未经辐照、与辐照监督试样同材质的力学试样，其试验数据用作后续对比的基准，以评估辐照对材料性能的影响，包括冷态冲击试样、冷态拉伸试样及冷态断裂韧性试样。</w:t>
      </w:r>
    </w:p>
    <w:p w14:paraId="4A91CA2E" w14:textId="77777777" w:rsidR="0029312F" w:rsidRDefault="00000000">
      <w:pPr>
        <w:pStyle w:val="afffffffffffb"/>
        <w:ind w:left="420" w:hangingChars="200" w:hanging="420"/>
        <w:rPr>
          <w:rFonts w:ascii="黑体" w:eastAsia="黑体" w:hAnsi="黑体" w:hint="eastAsia"/>
        </w:rPr>
      </w:pPr>
      <w:r>
        <w:rPr>
          <w:rFonts w:ascii="黑体" w:eastAsia="黑体" w:hAnsi="黑体"/>
        </w:rPr>
        <w:br/>
      </w:r>
      <w:r>
        <w:rPr>
          <w:rFonts w:ascii="黑体" w:eastAsia="黑体" w:hAnsi="黑体" w:hint="eastAsia"/>
        </w:rPr>
        <w:t>阳面 hot side</w:t>
      </w:r>
    </w:p>
    <w:p w14:paraId="56061B4E" w14:textId="77777777" w:rsidR="0029312F" w:rsidRDefault="00000000">
      <w:pPr>
        <w:pStyle w:val="afffffc"/>
        <w:ind w:firstLine="420"/>
      </w:pPr>
      <w:r>
        <w:rPr>
          <w:rFonts w:hint="eastAsia"/>
          <w:kern w:val="2"/>
          <w:szCs w:val="24"/>
        </w:rPr>
        <w:t>辐照监督管朝向</w:t>
      </w:r>
      <w:r>
        <w:rPr>
          <w:kern w:val="2"/>
          <w:szCs w:val="24"/>
        </w:rPr>
        <w:t>堆芯活性区</w:t>
      </w:r>
      <w:r>
        <w:rPr>
          <w:rFonts w:hint="eastAsia"/>
          <w:kern w:val="2"/>
          <w:szCs w:val="24"/>
        </w:rPr>
        <w:t>、</w:t>
      </w:r>
      <w:r>
        <w:rPr>
          <w:kern w:val="2"/>
          <w:szCs w:val="24"/>
        </w:rPr>
        <w:t>承受更</w:t>
      </w:r>
      <w:r>
        <w:rPr>
          <w:rFonts w:hint="eastAsia"/>
          <w:kern w:val="2"/>
          <w:szCs w:val="24"/>
        </w:rPr>
        <w:t>高</w:t>
      </w:r>
      <w:r>
        <w:rPr>
          <w:kern w:val="2"/>
          <w:szCs w:val="24"/>
        </w:rPr>
        <w:t>中子注量</w:t>
      </w:r>
      <w:r>
        <w:rPr>
          <w:rFonts w:hint="eastAsia"/>
          <w:kern w:val="2"/>
          <w:szCs w:val="24"/>
        </w:rPr>
        <w:t>的</w:t>
      </w:r>
      <w:r>
        <w:rPr>
          <w:kern w:val="2"/>
          <w:szCs w:val="24"/>
        </w:rPr>
        <w:t>一侧</w:t>
      </w:r>
      <w:r>
        <w:rPr>
          <w:rFonts w:hint="eastAsia"/>
          <w:kern w:val="2"/>
          <w:szCs w:val="24"/>
        </w:rPr>
        <w:t>。</w:t>
      </w:r>
    </w:p>
    <w:p w14:paraId="43525BF3" w14:textId="77777777" w:rsidR="0029312F" w:rsidRDefault="00000000">
      <w:pPr>
        <w:pStyle w:val="afffffffffffb"/>
        <w:ind w:left="420" w:hangingChars="200" w:hanging="420"/>
        <w:rPr>
          <w:rFonts w:ascii="黑体" w:eastAsia="黑体" w:hAnsi="黑体" w:hint="eastAsia"/>
        </w:rPr>
      </w:pPr>
      <w:r>
        <w:rPr>
          <w:rFonts w:ascii="黑体" w:eastAsia="黑体" w:hAnsi="黑体"/>
        </w:rPr>
        <w:br/>
      </w:r>
      <w:r>
        <w:rPr>
          <w:rFonts w:ascii="黑体" w:eastAsia="黑体" w:hAnsi="黑体" w:hint="eastAsia"/>
        </w:rPr>
        <w:t>阴面 cold side</w:t>
      </w:r>
    </w:p>
    <w:p w14:paraId="499E403C" w14:textId="77777777" w:rsidR="0029312F" w:rsidRDefault="00000000">
      <w:pPr>
        <w:pStyle w:val="afffffc"/>
        <w:ind w:firstLine="420"/>
      </w:pPr>
      <w:r>
        <w:rPr>
          <w:rFonts w:hint="eastAsia"/>
          <w:kern w:val="2"/>
          <w:szCs w:val="24"/>
        </w:rPr>
        <w:t>辐照监督管</w:t>
      </w:r>
      <w:r>
        <w:rPr>
          <w:kern w:val="2"/>
          <w:szCs w:val="24"/>
        </w:rPr>
        <w:t>背向堆芯活性区</w:t>
      </w:r>
      <w:r>
        <w:rPr>
          <w:rFonts w:hint="eastAsia"/>
          <w:kern w:val="2"/>
          <w:szCs w:val="24"/>
        </w:rPr>
        <w:t>、</w:t>
      </w:r>
      <w:r>
        <w:rPr>
          <w:kern w:val="2"/>
          <w:szCs w:val="24"/>
        </w:rPr>
        <w:t>承受相对较</w:t>
      </w:r>
      <w:r>
        <w:rPr>
          <w:rFonts w:hint="eastAsia"/>
          <w:kern w:val="2"/>
          <w:szCs w:val="24"/>
        </w:rPr>
        <w:t>低</w:t>
      </w:r>
      <w:r>
        <w:rPr>
          <w:kern w:val="2"/>
          <w:szCs w:val="24"/>
        </w:rPr>
        <w:t>中子注量的一侧。</w:t>
      </w:r>
    </w:p>
    <w:p w14:paraId="57131829" w14:textId="77777777" w:rsidR="0029312F" w:rsidRDefault="00000000">
      <w:pPr>
        <w:pStyle w:val="afffffffffffb"/>
        <w:ind w:left="420" w:hangingChars="200" w:hanging="420"/>
        <w:rPr>
          <w:rFonts w:ascii="黑体" w:eastAsia="黑体" w:hAnsi="黑体" w:hint="eastAsia"/>
        </w:rPr>
      </w:pPr>
      <w:r>
        <w:rPr>
          <w:rFonts w:ascii="黑体" w:eastAsia="黑体" w:hAnsi="黑体"/>
        </w:rPr>
        <w:br/>
        <w:t>测量盒</w:t>
      </w:r>
      <w:r>
        <w:rPr>
          <w:rFonts w:ascii="黑体" w:eastAsia="黑体" w:hAnsi="黑体" w:hint="eastAsia"/>
        </w:rPr>
        <w:t xml:space="preserve"> measurement box</w:t>
      </w:r>
    </w:p>
    <w:p w14:paraId="1292B8FC" w14:textId="77777777" w:rsidR="0029312F" w:rsidRDefault="00000000">
      <w:pPr>
        <w:pStyle w:val="afffffc"/>
        <w:ind w:firstLine="420"/>
      </w:pPr>
      <w:r>
        <w:rPr>
          <w:rFonts w:hint="eastAsia"/>
        </w:rPr>
        <w:t>辐照监督管内用于固定和安装中子剂量探测器或温度监测器的组件。</w:t>
      </w:r>
    </w:p>
    <w:p w14:paraId="21CF5817" w14:textId="77777777" w:rsidR="0029312F" w:rsidRDefault="00000000">
      <w:pPr>
        <w:pStyle w:val="afffffffffffb"/>
        <w:ind w:left="420" w:hangingChars="200" w:hanging="420"/>
        <w:rPr>
          <w:rFonts w:ascii="黑体" w:eastAsia="黑体" w:hAnsi="黑体" w:hint="eastAsia"/>
        </w:rPr>
      </w:pPr>
      <w:r>
        <w:rPr>
          <w:rFonts w:ascii="黑体" w:eastAsia="黑体" w:hAnsi="黑体"/>
        </w:rPr>
        <w:br/>
      </w:r>
      <w:r>
        <w:rPr>
          <w:rFonts w:ascii="黑体" w:eastAsia="黑体" w:hAnsi="黑体" w:hint="eastAsia"/>
        </w:rPr>
        <w:t>测量元件 Monitoring Sensors</w:t>
      </w:r>
    </w:p>
    <w:p w14:paraId="2A733B34" w14:textId="77777777" w:rsidR="0029312F" w:rsidRDefault="00000000">
      <w:pPr>
        <w:pStyle w:val="afffffc"/>
        <w:ind w:firstLine="420"/>
      </w:pPr>
      <w:r>
        <w:rPr>
          <w:rFonts w:hint="eastAsia"/>
        </w:rPr>
        <w:t>辐照监督管内中子剂量探测器和温度监测器的统称。</w:t>
      </w:r>
    </w:p>
    <w:p w14:paraId="21B3135B" w14:textId="77777777" w:rsidR="0029312F" w:rsidRDefault="00000000">
      <w:pPr>
        <w:pStyle w:val="afff2"/>
        <w:spacing w:before="240" w:after="240"/>
      </w:pPr>
      <w:bookmarkStart w:id="62" w:name="_Toc216792889"/>
      <w:bookmarkStart w:id="63" w:name="_Toc216792853"/>
      <w:r>
        <w:t>辐照监督大纲制定</w:t>
      </w:r>
      <w:bookmarkEnd w:id="62"/>
      <w:bookmarkEnd w:id="63"/>
    </w:p>
    <w:p w14:paraId="6DFA5F40" w14:textId="77777777" w:rsidR="0029312F" w:rsidRDefault="00000000">
      <w:pPr>
        <w:pStyle w:val="afff3"/>
        <w:spacing w:before="120" w:after="120"/>
      </w:pPr>
      <w:bookmarkStart w:id="64" w:name="_Toc216792854"/>
      <w:r>
        <w:t>目的</w:t>
      </w:r>
      <w:bookmarkEnd w:id="64"/>
    </w:p>
    <w:p w14:paraId="3925083F" w14:textId="77777777" w:rsidR="0029312F" w:rsidRDefault="00000000">
      <w:pPr>
        <w:pStyle w:val="afffffc"/>
        <w:ind w:firstLine="420"/>
      </w:pPr>
      <w:r>
        <w:rPr>
          <w:rFonts w:hint="eastAsia"/>
          <w:kern w:val="2"/>
          <w:szCs w:val="24"/>
        </w:rPr>
        <w:t>制定辐照监督大纲的目的是规定在反应堆压力容器内设置反应堆压力容器堆芯区材料（母材、焊缝和热影响区）的辐照损伤监督试样和其它测量元件的要求及准备工作，并制定监督试样和测量元件的定期提取和进行测试的试验方案，保证实现辐照损伤引起的材料性能变化的定期监控，以确定反应堆压力容器安全运行的条件，防止其在机组运行过程中发生脆性断裂。</w:t>
      </w:r>
    </w:p>
    <w:p w14:paraId="5CBA253D" w14:textId="77777777" w:rsidR="0029312F" w:rsidRDefault="00000000">
      <w:pPr>
        <w:pStyle w:val="afff3"/>
        <w:spacing w:before="120" w:after="120"/>
      </w:pPr>
      <w:bookmarkStart w:id="65" w:name="_Toc216792855"/>
      <w:r>
        <w:t>要求</w:t>
      </w:r>
      <w:bookmarkEnd w:id="65"/>
    </w:p>
    <w:p w14:paraId="6C337285" w14:textId="77777777" w:rsidR="0029312F" w:rsidRDefault="00000000">
      <w:pPr>
        <w:pStyle w:val="afffffc"/>
        <w:ind w:firstLineChars="0" w:firstLine="0"/>
        <w:rPr>
          <w:kern w:val="2"/>
          <w:szCs w:val="24"/>
        </w:rPr>
      </w:pPr>
      <w:r>
        <w:rPr>
          <w:rFonts w:ascii="黑体" w:eastAsia="黑体" w:hAnsi="黑体" w:cs="黑体" w:hint="eastAsia"/>
        </w:rPr>
        <w:lastRenderedPageBreak/>
        <w:t xml:space="preserve">4.2.1  </w:t>
      </w:r>
      <w:r>
        <w:rPr>
          <w:rFonts w:ascii="宋体" w:hAnsi="宋体" w:cs="宋体" w:hint="eastAsia"/>
        </w:rPr>
        <w:t>应依据反应堆压力容器设计、制造、运行和维护所依据的法规与标准，并结合机组运行期间中</w:t>
      </w:r>
      <w:r>
        <w:rPr>
          <w:rFonts w:ascii="宋体" w:hint="eastAsia"/>
        </w:rPr>
        <w:t>子注</w:t>
      </w:r>
      <w:r>
        <w:rPr>
          <w:rFonts w:hint="eastAsia"/>
          <w:kern w:val="2"/>
          <w:szCs w:val="24"/>
        </w:rPr>
        <w:t>量分布数据，制定辐照监督大纲。</w:t>
      </w:r>
    </w:p>
    <w:p w14:paraId="0CBD3E99" w14:textId="77777777" w:rsidR="0029312F" w:rsidRDefault="00000000">
      <w:pPr>
        <w:pStyle w:val="afffffc"/>
        <w:ind w:firstLineChars="0" w:firstLine="0"/>
        <w:rPr>
          <w:kern w:val="2"/>
          <w:szCs w:val="24"/>
        </w:rPr>
      </w:pPr>
      <w:r>
        <w:rPr>
          <w:rFonts w:ascii="黑体" w:eastAsia="黑体" w:hAnsi="黑体" w:cs="黑体" w:hint="eastAsia"/>
          <w:kern w:val="2"/>
          <w:szCs w:val="24"/>
        </w:rPr>
        <w:t xml:space="preserve">4.2.2  </w:t>
      </w:r>
      <w:r>
        <w:rPr>
          <w:rFonts w:hint="eastAsia"/>
          <w:kern w:val="2"/>
          <w:szCs w:val="24"/>
        </w:rPr>
        <w:t>辐照监督大纲应涵盖对反应堆压力容器材料因中子辐照引起性能变化的监督、预测与评价，明确各项辐照监督试验所依据的标准及版本，并明确试验结果分析与应用的要求。</w:t>
      </w:r>
    </w:p>
    <w:p w14:paraId="531724CF" w14:textId="77777777" w:rsidR="0029312F" w:rsidRDefault="00000000">
      <w:pPr>
        <w:pStyle w:val="afffffc"/>
        <w:ind w:firstLineChars="0" w:firstLine="0"/>
        <w:rPr>
          <w:kern w:val="2"/>
          <w:szCs w:val="24"/>
        </w:rPr>
      </w:pPr>
      <w:r>
        <w:rPr>
          <w:rFonts w:ascii="黑体" w:eastAsia="黑体" w:hAnsi="黑体" w:cs="黑体" w:hint="eastAsia"/>
          <w:kern w:val="2"/>
          <w:szCs w:val="24"/>
        </w:rPr>
        <w:t xml:space="preserve">4.2.3  </w:t>
      </w:r>
      <w:r>
        <w:rPr>
          <w:rFonts w:hint="eastAsia"/>
          <w:kern w:val="2"/>
          <w:szCs w:val="24"/>
        </w:rPr>
        <w:t>反应堆压力容器辐照监督大纲至少应规定以下内容：</w:t>
      </w:r>
    </w:p>
    <w:p w14:paraId="39EC0000" w14:textId="77777777" w:rsidR="0029312F" w:rsidRDefault="00000000">
      <w:pPr>
        <w:pStyle w:val="af8"/>
      </w:pPr>
      <w:r>
        <w:rPr>
          <w:rFonts w:hint="eastAsia"/>
        </w:rPr>
        <w:t>辐照监督准则，并明确制定该准则所依据的法规、规范、标准及其版本；</w:t>
      </w:r>
    </w:p>
    <w:p w14:paraId="2DC8E1EF" w14:textId="77777777" w:rsidR="0029312F" w:rsidRDefault="00000000">
      <w:pPr>
        <w:pStyle w:val="af8"/>
      </w:pPr>
      <w:r>
        <w:rPr>
          <w:rFonts w:hint="eastAsia"/>
        </w:rPr>
        <w:t>辐照监督材料要求；</w:t>
      </w:r>
    </w:p>
    <w:p w14:paraId="0E9050D0" w14:textId="77777777" w:rsidR="0029312F" w:rsidRDefault="00000000">
      <w:pPr>
        <w:pStyle w:val="af8"/>
      </w:pPr>
      <w:r>
        <w:rPr>
          <w:rFonts w:hint="eastAsia"/>
        </w:rPr>
        <w:t>冷态试样与辐照监督试样的类型、数量、加工及试验要求；</w:t>
      </w:r>
    </w:p>
    <w:p w14:paraId="5178FDE0" w14:textId="77777777" w:rsidR="0029312F" w:rsidRDefault="00000000">
      <w:pPr>
        <w:pStyle w:val="af8"/>
      </w:pPr>
      <w:r>
        <w:rPr>
          <w:rFonts w:hint="eastAsia"/>
        </w:rPr>
        <w:t>温度监测器的选取与检查的要求；</w:t>
      </w:r>
    </w:p>
    <w:p w14:paraId="29B04AB3" w14:textId="77777777" w:rsidR="0029312F" w:rsidRDefault="00000000">
      <w:pPr>
        <w:pStyle w:val="af8"/>
      </w:pPr>
      <w:r>
        <w:rPr>
          <w:rFonts w:hint="eastAsia"/>
        </w:rPr>
        <w:t>中子剂量探测器的选取与测量要求；</w:t>
      </w:r>
    </w:p>
    <w:p w14:paraId="6B2E8413" w14:textId="77777777" w:rsidR="0029312F" w:rsidRDefault="00000000">
      <w:pPr>
        <w:pStyle w:val="af8"/>
      </w:pPr>
      <w:r>
        <w:rPr>
          <w:rFonts w:hint="eastAsia"/>
        </w:rPr>
        <w:t>辐照监督管制造及监督样品布置的要求；</w:t>
      </w:r>
    </w:p>
    <w:p w14:paraId="728DBEF1" w14:textId="77777777" w:rsidR="0029312F" w:rsidRDefault="00000000">
      <w:pPr>
        <w:pStyle w:val="af8"/>
      </w:pPr>
      <w:r>
        <w:rPr>
          <w:rFonts w:hint="eastAsia"/>
        </w:rPr>
        <w:t>辐照监督管的提取计划；</w:t>
      </w:r>
    </w:p>
    <w:p w14:paraId="42E30F13" w14:textId="77777777" w:rsidR="0029312F" w:rsidRDefault="00000000">
      <w:pPr>
        <w:pStyle w:val="af8"/>
      </w:pPr>
      <w:r>
        <w:rPr>
          <w:rFonts w:hint="eastAsia"/>
        </w:rPr>
        <w:t>辐照监督试验报告的要求。</w:t>
      </w:r>
    </w:p>
    <w:p w14:paraId="1BC6188E" w14:textId="77777777" w:rsidR="0029312F" w:rsidRDefault="00000000">
      <w:pPr>
        <w:pStyle w:val="afff2"/>
        <w:spacing w:before="240" w:after="240"/>
      </w:pPr>
      <w:bookmarkStart w:id="66" w:name="_Toc216792890"/>
      <w:bookmarkStart w:id="67" w:name="_Toc216792856"/>
      <w:r>
        <w:t>辐照监督材料</w:t>
      </w:r>
      <w:bookmarkEnd w:id="66"/>
      <w:bookmarkEnd w:id="67"/>
    </w:p>
    <w:p w14:paraId="19A8D276" w14:textId="77777777" w:rsidR="0029312F" w:rsidRDefault="00000000">
      <w:pPr>
        <w:pStyle w:val="afffffffff5"/>
      </w:pPr>
      <w:bookmarkStart w:id="68" w:name="_Toc18828"/>
      <w:r>
        <w:rPr>
          <w:rFonts w:hint="eastAsia"/>
        </w:rPr>
        <w:t>辐照监督材料包括母材金属、焊缝金属、热影响区材料、档案材料及参考材料等。</w:t>
      </w:r>
      <w:bookmarkStart w:id="69" w:name="_Toc31130"/>
      <w:bookmarkEnd w:id="68"/>
    </w:p>
    <w:p w14:paraId="7C9EA84B" w14:textId="77777777" w:rsidR="0029312F" w:rsidRDefault="00000000">
      <w:pPr>
        <w:pStyle w:val="afffffffff5"/>
      </w:pPr>
      <w:r>
        <w:rPr>
          <w:rFonts w:hint="eastAsia"/>
          <w:szCs w:val="21"/>
        </w:rPr>
        <w:t>辐照监督材料的制造工艺应与反应堆压力容器的制造工艺一致，并保留完整记录。</w:t>
      </w:r>
      <w:bookmarkEnd w:id="69"/>
    </w:p>
    <w:p w14:paraId="6DAB449F" w14:textId="77777777" w:rsidR="0029312F" w:rsidRDefault="00000000">
      <w:pPr>
        <w:pStyle w:val="afffffffff5"/>
      </w:pPr>
      <w:r>
        <w:rPr>
          <w:rFonts w:hint="eastAsia"/>
        </w:rPr>
        <w:t>辐照监督材料的无损检测方法应与反应堆压力容器的无损检测方法一致，并</w:t>
      </w:r>
      <w:r>
        <w:rPr>
          <w:rFonts w:hint="eastAsia"/>
          <w:szCs w:val="21"/>
        </w:rPr>
        <w:t>保留</w:t>
      </w:r>
      <w:r>
        <w:rPr>
          <w:rFonts w:hint="eastAsia"/>
        </w:rPr>
        <w:t>记录完整。</w:t>
      </w:r>
      <w:bookmarkStart w:id="70" w:name="_Toc26078"/>
    </w:p>
    <w:p w14:paraId="5E747FDF" w14:textId="77777777" w:rsidR="0029312F" w:rsidRDefault="00000000">
      <w:pPr>
        <w:pStyle w:val="afffffffff5"/>
      </w:pPr>
      <w:r>
        <w:rPr>
          <w:rFonts w:hint="eastAsia"/>
        </w:rPr>
        <w:t>辐照监督材料应按相应产品技术规格书的要求进行化学成分分析，记录完整，数值精确至0.01%。化学成分应至少包括磷（P）、硫（S）、铜（Cu）、钒（V）、硅（Si）、锰（Mn）、镍（Ni）、碳（C），以及低合金钢产品常规分析应测定的其他合金元素和残余元素。</w:t>
      </w:r>
      <w:bookmarkStart w:id="71" w:name="_Toc15484"/>
      <w:bookmarkEnd w:id="70"/>
    </w:p>
    <w:p w14:paraId="365A6E72" w14:textId="77777777" w:rsidR="0029312F" w:rsidRDefault="00000000">
      <w:pPr>
        <w:pStyle w:val="afffffffff5"/>
      </w:pPr>
      <w:r>
        <w:rPr>
          <w:rFonts w:hint="eastAsia"/>
        </w:rPr>
        <w:t>辐照监督母材金属和焊缝金属应满足</w:t>
      </w:r>
      <w:r>
        <w:rPr>
          <w:rFonts w:hAnsi="宋体"/>
        </w:rPr>
        <w:t>NB/T 20220</w:t>
      </w:r>
      <w:r>
        <w:rPr>
          <w:rFonts w:hAnsi="宋体" w:hint="eastAsia"/>
        </w:rPr>
        <w:t>—2013中4.2.1的要求</w:t>
      </w:r>
      <w:r>
        <w:rPr>
          <w:rFonts w:hint="eastAsia"/>
        </w:rPr>
        <w:t>。</w:t>
      </w:r>
      <w:bookmarkStart w:id="72" w:name="_Toc29776"/>
      <w:bookmarkEnd w:id="71"/>
      <w:r>
        <w:rPr>
          <w:rFonts w:hint="eastAsia"/>
        </w:rPr>
        <w:t>如果反应堆压力容器环带区没有焊缝，则对于目标注量超过限制焊缝设计注量两倍的监督管，可以不包含焊缝金属。但第一个监督管必须包含</w:t>
      </w:r>
      <w:proofErr w:type="gramStart"/>
      <w:r>
        <w:rPr>
          <w:rFonts w:hint="eastAsia"/>
        </w:rPr>
        <w:t>最</w:t>
      </w:r>
      <w:proofErr w:type="gramEnd"/>
      <w:r>
        <w:rPr>
          <w:rFonts w:hint="eastAsia"/>
        </w:rPr>
        <w:t>限制性的焊缝金属。</w:t>
      </w:r>
    </w:p>
    <w:p w14:paraId="464BDC7D" w14:textId="77777777" w:rsidR="0029312F" w:rsidRDefault="00000000">
      <w:pPr>
        <w:pStyle w:val="afffffffff5"/>
      </w:pPr>
      <w:bookmarkStart w:id="73" w:name="_Toc12278"/>
      <w:bookmarkEnd w:id="72"/>
      <w:r>
        <w:rPr>
          <w:rFonts w:hint="eastAsia"/>
        </w:rPr>
        <w:t>热影响区材料不要求纳入辐照监督程序。建议将母材热影响区材料与焊缝一并存档保留。</w:t>
      </w:r>
      <w:bookmarkStart w:id="74" w:name="_Toc20755"/>
      <w:bookmarkEnd w:id="73"/>
    </w:p>
    <w:bookmarkEnd w:id="74"/>
    <w:p w14:paraId="67566F6A" w14:textId="77777777" w:rsidR="0029312F" w:rsidRDefault="00000000">
      <w:pPr>
        <w:pStyle w:val="afffffffff5"/>
      </w:pPr>
      <w:r>
        <w:rPr>
          <w:rFonts w:hAnsi="宋体" w:hint="eastAsia"/>
          <w:szCs w:val="21"/>
        </w:rPr>
        <w:t>应保留足够的母材金属和焊缝金属作为档案材料，具备制造比辐照监督程序最低要求多出3个监督管的材料总能力。如果设计有备用辐照监督管，则可以相应减少档案材料数量，但最终必须独立保留至少足够制造1个</w:t>
      </w:r>
      <w:proofErr w:type="gramStart"/>
      <w:r>
        <w:rPr>
          <w:rFonts w:hAnsi="宋体" w:hint="eastAsia"/>
          <w:szCs w:val="21"/>
        </w:rPr>
        <w:t>完整监督</w:t>
      </w:r>
      <w:proofErr w:type="gramEnd"/>
      <w:r>
        <w:rPr>
          <w:rFonts w:hAnsi="宋体" w:hint="eastAsia"/>
          <w:szCs w:val="21"/>
        </w:rPr>
        <w:t>管的材料。档案材料应以原始材料的全厚度截面形式保存，并实施系统性保管，具有清晰唯一的标识和完备的追溯记录，并定期开展检查与维护。</w:t>
      </w:r>
    </w:p>
    <w:p w14:paraId="79FD24B3" w14:textId="77777777" w:rsidR="0029312F" w:rsidRDefault="00000000">
      <w:pPr>
        <w:pStyle w:val="afffffffff5"/>
      </w:pPr>
      <w:r>
        <w:rPr>
          <w:rFonts w:hint="eastAsia"/>
        </w:rPr>
        <w:t>参考材料作为辐照监督试验的可选项。如果选择使用，该材料的力学性能对中子注量、辐照温度的依赖性必须已得到充分表征并留有记录</w:t>
      </w:r>
      <w:r>
        <w:rPr>
          <w:rFonts w:hAnsi="宋体" w:hint="eastAsia"/>
        </w:rPr>
        <w:t>。参考材料应具有良好的均匀性。</w:t>
      </w:r>
    </w:p>
    <w:p w14:paraId="7F75D624" w14:textId="77777777" w:rsidR="0029312F" w:rsidRDefault="00000000">
      <w:pPr>
        <w:pStyle w:val="afff2"/>
        <w:spacing w:before="240" w:after="240"/>
      </w:pPr>
      <w:bookmarkStart w:id="75" w:name="_Toc216792891"/>
      <w:bookmarkStart w:id="76" w:name="_Toc216792857"/>
      <w:r>
        <w:t>辐照监督管设计</w:t>
      </w:r>
      <w:bookmarkEnd w:id="75"/>
      <w:bookmarkEnd w:id="76"/>
    </w:p>
    <w:p w14:paraId="66A531AA" w14:textId="77777777" w:rsidR="0029312F" w:rsidRDefault="00000000">
      <w:pPr>
        <w:pStyle w:val="afff3"/>
        <w:spacing w:before="120" w:after="120"/>
      </w:pPr>
      <w:bookmarkStart w:id="77" w:name="_Toc216792858"/>
      <w:r>
        <w:t>一般要求</w:t>
      </w:r>
      <w:bookmarkEnd w:id="77"/>
    </w:p>
    <w:p w14:paraId="6A6F3A12" w14:textId="77777777" w:rsidR="0029312F" w:rsidRDefault="00000000">
      <w:pPr>
        <w:pStyle w:val="afffffc"/>
        <w:ind w:firstLineChars="0" w:firstLine="0"/>
        <w:rPr>
          <w:rFonts w:ascii="宋体" w:hAnsi="宋体" w:hint="eastAsia"/>
          <w:kern w:val="2"/>
          <w:szCs w:val="24"/>
        </w:rPr>
      </w:pPr>
      <w:r>
        <w:rPr>
          <w:rFonts w:ascii="黑体" w:eastAsia="黑体" w:hAnsi="黑体" w:cs="黑体" w:hint="eastAsia"/>
          <w:kern w:val="2"/>
          <w:szCs w:val="24"/>
        </w:rPr>
        <w:t xml:space="preserve">6.1.1  </w:t>
      </w:r>
      <w:r>
        <w:rPr>
          <w:rFonts w:ascii="宋体" w:hAnsi="宋体" w:hint="eastAsia"/>
          <w:kern w:val="2"/>
          <w:szCs w:val="24"/>
        </w:rPr>
        <w:t>辐照监督管的设计应满足NB/T 20220—2013中4.6.1的要求。同类型材料、同类型试样宜尽量布置在辐照监督管同一侧的相近位置。</w:t>
      </w:r>
    </w:p>
    <w:p w14:paraId="4813B348" w14:textId="77777777" w:rsidR="0029312F" w:rsidRDefault="00000000">
      <w:pPr>
        <w:pStyle w:val="afffffc"/>
        <w:ind w:firstLineChars="0" w:firstLine="0"/>
        <w:rPr>
          <w:rFonts w:ascii="宋体" w:hAnsi="宋体" w:hint="eastAsia"/>
          <w:kern w:val="2"/>
          <w:szCs w:val="24"/>
        </w:rPr>
      </w:pPr>
      <w:r>
        <w:rPr>
          <w:rFonts w:ascii="黑体" w:eastAsia="黑体" w:hAnsi="黑体" w:cs="黑体" w:hint="eastAsia"/>
          <w:kern w:val="2"/>
          <w:szCs w:val="24"/>
        </w:rPr>
        <w:t xml:space="preserve">6.1.2  </w:t>
      </w:r>
      <w:r>
        <w:rPr>
          <w:rFonts w:ascii="宋体" w:hAnsi="宋体" w:hint="eastAsia"/>
          <w:kern w:val="2"/>
          <w:szCs w:val="24"/>
        </w:rPr>
        <w:t>辐照监督管应布置于反应堆压力容器内部，应确保辐照监督管经历的辐照历史（包括中子能谱、温度历史和最大中子注量等）在系统物理限制范围内，尽可能接近反应堆压力容器环带区所经历的环境。容器监督管的超前因子宜为1.5～5。若反应堆压力</w:t>
      </w:r>
      <w:proofErr w:type="gramStart"/>
      <w:r>
        <w:rPr>
          <w:rFonts w:ascii="宋体" w:hAnsi="宋体" w:hint="eastAsia"/>
          <w:kern w:val="2"/>
          <w:szCs w:val="24"/>
        </w:rPr>
        <w:t>容器或堆内构件</w:t>
      </w:r>
      <w:proofErr w:type="gramEnd"/>
      <w:r>
        <w:rPr>
          <w:rFonts w:ascii="宋体" w:hAnsi="宋体" w:hint="eastAsia"/>
          <w:kern w:val="2"/>
          <w:szCs w:val="24"/>
        </w:rPr>
        <w:t>设计不允许所有</w:t>
      </w:r>
      <w:proofErr w:type="gramStart"/>
      <w:r>
        <w:rPr>
          <w:rFonts w:ascii="宋体" w:hAnsi="宋体" w:hint="eastAsia"/>
          <w:kern w:val="2"/>
          <w:szCs w:val="24"/>
        </w:rPr>
        <w:t>监督管均满足</w:t>
      </w:r>
      <w:proofErr w:type="gramEnd"/>
      <w:r>
        <w:rPr>
          <w:rFonts w:ascii="宋体" w:hAnsi="宋体" w:hint="eastAsia"/>
          <w:kern w:val="2"/>
          <w:szCs w:val="24"/>
        </w:rPr>
        <w:t>上述规定的超前因子范围，可将额外的监督管布置于超前因子更高的位置，用于加速辐照。此类监督管的超前因子可大于5。当超前因子大于5时，应提供方法验证加速辐照数据的有效性，例如可采用参考材料。</w:t>
      </w:r>
    </w:p>
    <w:p w14:paraId="36D1BCD4" w14:textId="77777777" w:rsidR="0029312F" w:rsidRDefault="00000000">
      <w:pPr>
        <w:pStyle w:val="afffffc"/>
        <w:ind w:firstLineChars="0" w:firstLine="0"/>
        <w:rPr>
          <w:rFonts w:ascii="宋体" w:hAnsi="宋体" w:hint="eastAsia"/>
          <w:kern w:val="2"/>
          <w:szCs w:val="24"/>
        </w:rPr>
      </w:pPr>
      <w:r>
        <w:rPr>
          <w:rFonts w:ascii="黑体" w:eastAsia="黑体" w:hAnsi="黑体" w:cs="黑体" w:hint="eastAsia"/>
          <w:kern w:val="2"/>
          <w:szCs w:val="24"/>
        </w:rPr>
        <w:t xml:space="preserve">6.1.3  </w:t>
      </w:r>
      <w:r>
        <w:rPr>
          <w:rFonts w:ascii="宋体" w:hAnsi="宋体" w:hint="eastAsia"/>
          <w:kern w:val="2"/>
          <w:szCs w:val="24"/>
        </w:rPr>
        <w:t>应根据机组寿期内反应堆压力容器材料辐照损伤监督的需要，设置数量充足的辐照监督管。辐照监督管至少为５个，其中４个</w:t>
      </w:r>
      <w:proofErr w:type="gramStart"/>
      <w:r>
        <w:rPr>
          <w:rFonts w:ascii="宋体" w:hAnsi="宋体" w:hint="eastAsia"/>
          <w:kern w:val="2"/>
          <w:szCs w:val="24"/>
        </w:rPr>
        <w:t>监督管须分别</w:t>
      </w:r>
      <w:proofErr w:type="gramEnd"/>
      <w:r>
        <w:rPr>
          <w:rFonts w:ascii="宋体" w:hAnsi="宋体" w:hint="eastAsia"/>
          <w:kern w:val="2"/>
          <w:szCs w:val="24"/>
        </w:rPr>
        <w:t>在反应堆压力容器内表面达到四分之一、二分之一、四分之三及一倍最大设计注量时取出并进行试验，剩余监督管作为备用件置于辐照位置。对于监测堆芯重大变更、容器退火或超期服役等特殊工况，可适量增加辐照监督管数量。</w:t>
      </w:r>
    </w:p>
    <w:p w14:paraId="2745EB88" w14:textId="77777777" w:rsidR="0029312F" w:rsidRDefault="00000000">
      <w:pPr>
        <w:pStyle w:val="afffffc"/>
        <w:ind w:firstLineChars="0" w:firstLine="0"/>
        <w:rPr>
          <w:rFonts w:ascii="宋体" w:hAnsi="宋体" w:hint="eastAsia"/>
          <w:kern w:val="2"/>
          <w:szCs w:val="24"/>
        </w:rPr>
      </w:pPr>
      <w:r>
        <w:rPr>
          <w:rFonts w:ascii="黑体" w:eastAsia="黑体" w:hAnsi="黑体" w:cs="黑体" w:hint="eastAsia"/>
          <w:kern w:val="2"/>
          <w:szCs w:val="24"/>
        </w:rPr>
        <w:t xml:space="preserve">6.1.4  </w:t>
      </w:r>
      <w:r>
        <w:rPr>
          <w:rFonts w:ascii="宋体" w:hAnsi="宋体" w:hint="eastAsia"/>
          <w:kern w:val="2"/>
          <w:szCs w:val="24"/>
        </w:rPr>
        <w:t>由于反应堆运行参数或燃料管理变化引起超前因子或中子注量率变化，应定期审查辐照监督管提取计划。对于新堆型，建议采用首根辐照监督管试验结果或其他方式（如堆外中子注量测量方法）验</w:t>
      </w:r>
      <w:r>
        <w:rPr>
          <w:rFonts w:ascii="宋体" w:hAnsi="宋体" w:hint="eastAsia"/>
          <w:kern w:val="2"/>
          <w:szCs w:val="24"/>
        </w:rPr>
        <w:lastRenderedPageBreak/>
        <w:t>证机组运行时中子注量分布的实际情况，并据此调整辐照监督管提取计划。针对同类型机组群，建议</w:t>
      </w:r>
      <w:proofErr w:type="gramStart"/>
      <w:r>
        <w:rPr>
          <w:rFonts w:ascii="宋体" w:hAnsi="宋体" w:hint="eastAsia"/>
          <w:kern w:val="2"/>
          <w:szCs w:val="24"/>
        </w:rPr>
        <w:t>实施群厂协同</w:t>
      </w:r>
      <w:proofErr w:type="gramEnd"/>
      <w:r>
        <w:rPr>
          <w:rFonts w:ascii="宋体" w:hAnsi="宋体" w:hint="eastAsia"/>
          <w:kern w:val="2"/>
          <w:szCs w:val="24"/>
        </w:rPr>
        <w:t>辐照监督策略，统一协调管理，优化辐照监督管提取计划，最大限度利用有限的在堆辐照监督管资源，获取注量覆盖范围更广的辐照监督数据。</w:t>
      </w:r>
    </w:p>
    <w:p w14:paraId="40698411" w14:textId="77777777" w:rsidR="0029312F" w:rsidRDefault="00000000">
      <w:pPr>
        <w:pStyle w:val="afff3"/>
        <w:spacing w:before="120" w:after="120"/>
      </w:pPr>
      <w:bookmarkStart w:id="78" w:name="_Toc216792859"/>
      <w:r>
        <w:t>辐照监督</w:t>
      </w:r>
      <w:bookmarkEnd w:id="78"/>
      <w:r>
        <w:rPr>
          <w:rFonts w:hint="eastAsia"/>
        </w:rPr>
        <w:t>试样及测量元件</w:t>
      </w:r>
    </w:p>
    <w:p w14:paraId="2AFC5AD7" w14:textId="77777777" w:rsidR="0029312F" w:rsidRDefault="00000000">
      <w:pPr>
        <w:pStyle w:val="afff4"/>
        <w:spacing w:before="120" w:after="120"/>
      </w:pPr>
      <w:r>
        <w:t>力学性能监督试样</w:t>
      </w:r>
    </w:p>
    <w:p w14:paraId="2E35BBB4" w14:textId="77777777" w:rsidR="0029312F" w:rsidRDefault="00000000">
      <w:pPr>
        <w:pStyle w:val="afff5"/>
        <w:spacing w:before="120" w:after="120"/>
      </w:pPr>
      <w:r>
        <w:rPr>
          <w:rFonts w:hint="eastAsia"/>
        </w:rPr>
        <w:t>试样类型</w:t>
      </w:r>
    </w:p>
    <w:p w14:paraId="5E6EBACF" w14:textId="77777777" w:rsidR="0029312F" w:rsidRDefault="00000000">
      <w:pPr>
        <w:pStyle w:val="afffffc"/>
        <w:ind w:firstLine="420"/>
      </w:pPr>
      <w:r>
        <w:rPr>
          <w:rFonts w:hint="eastAsia"/>
        </w:rPr>
        <w:t>力学性能辐照监督试样</w:t>
      </w:r>
      <w:r>
        <w:rPr>
          <w:rFonts w:ascii="宋体" w:hint="eastAsia"/>
        </w:rPr>
        <w:t>类型通常包括</w:t>
      </w:r>
      <w:proofErr w:type="gramStart"/>
      <w:r>
        <w:rPr>
          <w:rFonts w:hint="eastAsia"/>
        </w:rPr>
        <w:t>夏比</w:t>
      </w:r>
      <w:r>
        <w:rPr>
          <w:rFonts w:hint="eastAsia"/>
        </w:rPr>
        <w:t>V</w:t>
      </w:r>
      <w:r>
        <w:rPr>
          <w:rFonts w:hint="eastAsia"/>
        </w:rPr>
        <w:t>型冲击</w:t>
      </w:r>
      <w:proofErr w:type="gramEnd"/>
      <w:r>
        <w:rPr>
          <w:rFonts w:hint="eastAsia"/>
        </w:rPr>
        <w:t>试样、拉伸试样和断裂韧性试样。</w:t>
      </w:r>
    </w:p>
    <w:p w14:paraId="59018FE8" w14:textId="77777777" w:rsidR="0029312F" w:rsidRDefault="00000000">
      <w:pPr>
        <w:pStyle w:val="afff5"/>
        <w:spacing w:before="120" w:after="120"/>
      </w:pPr>
      <w:r>
        <w:rPr>
          <w:rFonts w:hint="eastAsia"/>
        </w:rPr>
        <w:t>试样尺寸</w:t>
      </w:r>
    </w:p>
    <w:p w14:paraId="2BFAA906" w14:textId="77777777" w:rsidR="0029312F" w:rsidRDefault="00000000">
      <w:pPr>
        <w:pStyle w:val="affffffffffff1"/>
      </w:pPr>
      <w:r>
        <w:rPr>
          <w:rFonts w:hint="eastAsia"/>
        </w:rPr>
        <w:t>试样尺寸和形状应满足辐照监督大纲规定的试验标准的要求。冷态试样</w:t>
      </w:r>
      <w:proofErr w:type="gramStart"/>
      <w:r>
        <w:rPr>
          <w:rFonts w:hint="eastAsia"/>
        </w:rPr>
        <w:t>和入堆辐照</w:t>
      </w:r>
      <w:proofErr w:type="gramEnd"/>
      <w:r>
        <w:rPr>
          <w:rFonts w:hint="eastAsia"/>
        </w:rPr>
        <w:t>试样的尺寸和形状应保持一致。</w:t>
      </w:r>
    </w:p>
    <w:p w14:paraId="4A331AAE" w14:textId="77777777" w:rsidR="0029312F" w:rsidRDefault="00000000">
      <w:pPr>
        <w:pStyle w:val="afff5"/>
        <w:spacing w:before="120" w:after="120"/>
      </w:pPr>
      <w:r>
        <w:rPr>
          <w:rFonts w:hint="eastAsia"/>
        </w:rPr>
        <w:t>试样取样位置和方向</w:t>
      </w:r>
    </w:p>
    <w:p w14:paraId="25935456" w14:textId="77777777" w:rsidR="0029312F" w:rsidRDefault="00000000">
      <w:pPr>
        <w:pStyle w:val="affffffffffff1"/>
        <w:ind w:firstLineChars="0" w:firstLine="0"/>
      </w:pPr>
      <w:r>
        <w:rPr>
          <w:rFonts w:ascii="黑体" w:eastAsia="黑体" w:hAnsi="黑体" w:cs="黑体" w:hint="eastAsia"/>
        </w:rPr>
        <w:t xml:space="preserve">6.2.1.3.1  </w:t>
      </w:r>
      <w:r>
        <w:rPr>
          <w:rFonts w:hint="eastAsia"/>
        </w:rPr>
        <w:t>母材的力学性能监督试样应取自距容器内外表面四分之一厚度位置，且试样中段距离任何二次热处理表面至少为一个反应堆压力容器厚度。母材厚度中段的材料不得用于取样。母材拉伸和冲击试样主轴应平行于表面并垂直于板材主轧制方向或锻件主变形方向。冲击试样的缺口轴线应垂直于材料表面。</w:t>
      </w:r>
    </w:p>
    <w:p w14:paraId="201739E4" w14:textId="77777777" w:rsidR="0029312F" w:rsidRDefault="00000000">
      <w:pPr>
        <w:pStyle w:val="affffffffffff1"/>
        <w:ind w:firstLineChars="0" w:firstLine="0"/>
      </w:pPr>
      <w:r>
        <w:rPr>
          <w:rFonts w:hint="eastAsia"/>
          <w:b/>
          <w:bCs/>
        </w:rPr>
        <w:t xml:space="preserve">6.2.1.3.2  </w:t>
      </w:r>
      <w:r>
        <w:rPr>
          <w:rFonts w:hint="eastAsia"/>
        </w:rPr>
        <w:t>焊缝金属试样应取自焊缝中心线附近，并避开根部与表面区域。焊缝冲击试样的轴线应垂直于焊缝长度方向且平行于焊缝表面，试样缺口根部轴线应垂直于焊缝表面并位于熔敷金属中心线上。焊缝拉伸试样轴线应平行于焊缝长度方向，并位于焊缝中心线上。若焊缝拉伸试样的</w:t>
      </w:r>
      <w:proofErr w:type="gramStart"/>
      <w:r>
        <w:rPr>
          <w:rFonts w:hint="eastAsia"/>
        </w:rPr>
        <w:t>整个标距</w:t>
      </w:r>
      <w:proofErr w:type="gramEnd"/>
      <w:r>
        <w:rPr>
          <w:rFonts w:hint="eastAsia"/>
        </w:rPr>
        <w:t>可由熔敷金属组成，则焊缝拉伸试样的轴线可垂直于焊缝长度方向并平行于焊缝表面。</w:t>
      </w:r>
    </w:p>
    <w:p w14:paraId="3614A0B8" w14:textId="77777777" w:rsidR="0029312F" w:rsidRDefault="00000000">
      <w:pPr>
        <w:pStyle w:val="affffffffffff1"/>
      </w:pPr>
      <w:r>
        <w:rPr>
          <w:rFonts w:hint="eastAsia"/>
        </w:rPr>
        <w:t>冷态试样</w:t>
      </w:r>
      <w:proofErr w:type="gramStart"/>
      <w:r>
        <w:rPr>
          <w:rFonts w:hint="eastAsia"/>
        </w:rPr>
        <w:t>与入堆辐照</w:t>
      </w:r>
      <w:proofErr w:type="gramEnd"/>
      <w:r>
        <w:rPr>
          <w:rFonts w:hint="eastAsia"/>
        </w:rPr>
        <w:t>力学性能监督试样取样位置和方向应一致。</w:t>
      </w:r>
    </w:p>
    <w:p w14:paraId="506671DC" w14:textId="77777777" w:rsidR="0029312F" w:rsidRDefault="00000000">
      <w:pPr>
        <w:pStyle w:val="afff5"/>
        <w:spacing w:before="120" w:after="120"/>
      </w:pPr>
      <w:r>
        <w:rPr>
          <w:rFonts w:hint="eastAsia"/>
        </w:rPr>
        <w:t>试样数量</w:t>
      </w:r>
    </w:p>
    <w:p w14:paraId="052AD58C" w14:textId="77777777" w:rsidR="0029312F" w:rsidRDefault="00000000">
      <w:pPr>
        <w:pStyle w:val="affffffffffff1"/>
        <w:ind w:firstLineChars="0" w:firstLine="0"/>
      </w:pPr>
      <w:r>
        <w:rPr>
          <w:rFonts w:ascii="黑体" w:eastAsia="黑体" w:hAnsi="黑体" w:cs="黑体" w:hint="eastAsia"/>
        </w:rPr>
        <w:t xml:space="preserve">6.2.1.4.1  </w:t>
      </w:r>
      <w:r>
        <w:rPr>
          <w:rFonts w:hint="eastAsia"/>
        </w:rPr>
        <w:t>对于冷态试样，每种材料应至少制备15个冲击试样，用于建立完整转变温度曲线。建议在</w:t>
      </w:r>
      <w:proofErr w:type="gramStart"/>
      <w:r>
        <w:rPr>
          <w:rFonts w:hint="eastAsia"/>
        </w:rPr>
        <w:t>韧脆转变</w:t>
      </w:r>
      <w:proofErr w:type="gramEnd"/>
      <w:r>
        <w:rPr>
          <w:rFonts w:hint="eastAsia"/>
        </w:rPr>
        <w:t>温度曲线上平台区域至少测试３个试样。每种材料应至少制备６个拉伸试样，分别在室温和反应堆压力容器环带区运行温度下至少测试２个试样，其余试样可在中间温度下完成试验。</w:t>
      </w:r>
    </w:p>
    <w:p w14:paraId="574F206B" w14:textId="77777777" w:rsidR="0029312F" w:rsidRDefault="00000000">
      <w:pPr>
        <w:pStyle w:val="affffffffffff1"/>
        <w:ind w:firstLineChars="0" w:firstLine="0"/>
      </w:pPr>
      <w:r>
        <w:rPr>
          <w:rFonts w:ascii="黑体" w:eastAsia="黑体" w:hAnsi="黑体" w:cs="黑体" w:hint="eastAsia"/>
        </w:rPr>
        <w:t xml:space="preserve">6.2.1.4.2  </w:t>
      </w:r>
      <w:r>
        <w:rPr>
          <w:rFonts w:hint="eastAsia"/>
        </w:rPr>
        <w:t>对于装入辐照监督管的辐照试样，每个辐照监督管内试样的最低数量为每种材料（母材金属、焊缝金属）至少15个冲击试样、3个拉伸试样、8个紧凑拉伸试样。在可能的情况下，推荐在辐照监督管内放置尽可能多的试样。</w:t>
      </w:r>
    </w:p>
    <w:p w14:paraId="119B8A6E" w14:textId="77777777" w:rsidR="0029312F" w:rsidRDefault="00000000">
      <w:pPr>
        <w:pStyle w:val="afff5"/>
        <w:spacing w:before="120" w:after="120"/>
      </w:pPr>
      <w:r>
        <w:rPr>
          <w:rFonts w:hint="eastAsia"/>
        </w:rPr>
        <w:t>断裂韧性试样</w:t>
      </w:r>
    </w:p>
    <w:p w14:paraId="171A6479" w14:textId="77777777" w:rsidR="0029312F" w:rsidRDefault="00000000">
      <w:pPr>
        <w:pStyle w:val="affffffffffff1"/>
      </w:pPr>
      <w:r>
        <w:rPr>
          <w:rFonts w:hint="eastAsia"/>
        </w:rPr>
        <w:t>对于断裂韧性试样，建议在正式试验之前进行引伸计刀口加工和疲劳裂纹预制。对于需要加工侧槽的试样，应在完成疲劳裂纹预制后再进行侧槽加工，推荐侧槽深度为试样厚度的10%。</w:t>
      </w:r>
    </w:p>
    <w:p w14:paraId="6A8D2682" w14:textId="77777777" w:rsidR="0029312F" w:rsidRDefault="00000000">
      <w:pPr>
        <w:pStyle w:val="afff4"/>
        <w:spacing w:before="120" w:after="120"/>
      </w:pPr>
      <w:r>
        <w:t>中子剂量探测器</w:t>
      </w:r>
    </w:p>
    <w:p w14:paraId="440B3E0A" w14:textId="77777777" w:rsidR="0029312F" w:rsidRDefault="00000000">
      <w:pPr>
        <w:pStyle w:val="afffffffff7"/>
      </w:pPr>
      <w:r>
        <w:rPr>
          <w:rFonts w:hint="eastAsia"/>
        </w:rPr>
        <w:t>应选择适宜的中子剂量探测器，至少可实现能量大于1 MeV的中子注量率及中子能谱的测量。</w:t>
      </w:r>
    </w:p>
    <w:p w14:paraId="7E57E649" w14:textId="77777777" w:rsidR="0029312F" w:rsidRDefault="00000000">
      <w:pPr>
        <w:pStyle w:val="afffffffff7"/>
      </w:pPr>
      <w:r>
        <w:rPr>
          <w:rFonts w:hint="eastAsia"/>
        </w:rPr>
        <w:t>应明确中子剂量探测器材料的纯度要求，并规定影响测量结果的关键杂质元素的限值，如铜探测器中的钴杂质含量、铌探测器中钽杂质含量等。</w:t>
      </w:r>
    </w:p>
    <w:p w14:paraId="0D2A8ADD" w14:textId="77777777" w:rsidR="0029312F" w:rsidRDefault="00000000">
      <w:pPr>
        <w:pStyle w:val="afffffffff7"/>
      </w:pPr>
      <w:r>
        <w:rPr>
          <w:rFonts w:hint="eastAsia"/>
        </w:rPr>
        <w:t>应根据监测位置中子注量、中子能谱、探测器目标核素中子反应截面、活化产物半衰期等特征，设计规格尺寸合适的探测器。</w:t>
      </w:r>
    </w:p>
    <w:p w14:paraId="341DFC01" w14:textId="77777777" w:rsidR="0029312F" w:rsidRDefault="00000000">
      <w:pPr>
        <w:pStyle w:val="afffffffff7"/>
      </w:pPr>
      <w:r>
        <w:rPr>
          <w:rFonts w:hint="eastAsia"/>
        </w:rPr>
        <w:t>应根据活度测量及加工便利性选择合适的探测器形状。对于活化产物放射线能量较低的探测器，形状宜选择</w:t>
      </w:r>
      <w:proofErr w:type="gramStart"/>
      <w:r>
        <w:rPr>
          <w:rFonts w:hint="eastAsia"/>
        </w:rPr>
        <w:t>箔</w:t>
      </w:r>
      <w:proofErr w:type="gramEnd"/>
      <w:r>
        <w:rPr>
          <w:rFonts w:hint="eastAsia"/>
        </w:rPr>
        <w:t>片状，保证探测器厚度加工的均匀性，并提供准确的厚度数据。</w:t>
      </w:r>
    </w:p>
    <w:p w14:paraId="7D598348" w14:textId="77777777" w:rsidR="0029312F" w:rsidRDefault="00000000">
      <w:pPr>
        <w:pStyle w:val="afffffffff7"/>
      </w:pPr>
      <w:r>
        <w:rPr>
          <w:rFonts w:hint="eastAsia"/>
        </w:rPr>
        <w:t>探测器包壳应注意以下事项：</w:t>
      </w:r>
    </w:p>
    <w:p w14:paraId="6E0E67F3" w14:textId="77777777" w:rsidR="0029312F" w:rsidRDefault="00000000">
      <w:pPr>
        <w:pStyle w:val="af8"/>
      </w:pPr>
      <w:r>
        <w:rPr>
          <w:rFonts w:hint="eastAsia"/>
        </w:rPr>
        <w:t>应根据加工便利性和对热中子屏蔽需求选择合适的包壳材料；</w:t>
      </w:r>
    </w:p>
    <w:p w14:paraId="39B6CCCA" w14:textId="77777777" w:rsidR="0029312F" w:rsidRDefault="00000000">
      <w:pPr>
        <w:pStyle w:val="af8"/>
      </w:pPr>
      <w:r>
        <w:rPr>
          <w:rFonts w:hint="eastAsia"/>
        </w:rPr>
        <w:t>对于微量杂质即可对活化产物形成不可忽略影响的探测器，应选用特殊包壳以降低杂质影响，例如对于</w:t>
      </w:r>
      <w:proofErr w:type="gramStart"/>
      <w:r>
        <w:rPr>
          <w:rFonts w:hint="eastAsia"/>
        </w:rPr>
        <w:t>铌</w:t>
      </w:r>
      <w:proofErr w:type="gramEnd"/>
      <w:r>
        <w:rPr>
          <w:rFonts w:hint="eastAsia"/>
        </w:rPr>
        <w:t>探测器，可选用</w:t>
      </w:r>
      <w:proofErr w:type="gramStart"/>
      <w:r>
        <w:rPr>
          <w:rFonts w:hint="eastAsia"/>
        </w:rPr>
        <w:t>镉作为</w:t>
      </w:r>
      <w:proofErr w:type="gramEnd"/>
      <w:r>
        <w:rPr>
          <w:rFonts w:hint="eastAsia"/>
        </w:rPr>
        <w:t>包壳以减少热中子对钽杂质的活化；</w:t>
      </w:r>
    </w:p>
    <w:p w14:paraId="34DB306F" w14:textId="77777777" w:rsidR="0029312F" w:rsidRDefault="00000000">
      <w:pPr>
        <w:pStyle w:val="af8"/>
      </w:pPr>
      <w:r>
        <w:rPr>
          <w:rFonts w:hint="eastAsia"/>
        </w:rPr>
        <w:lastRenderedPageBreak/>
        <w:t>对于辐照后易脆化的探测器，应避免选用破除时易产生碎末的包壳，或额外加覆一层材料以防止包壳碎片与脆化的探测器混杂。</w:t>
      </w:r>
    </w:p>
    <w:p w14:paraId="57DDDE00" w14:textId="77777777" w:rsidR="0029312F" w:rsidRDefault="00000000">
      <w:pPr>
        <w:pStyle w:val="afff4"/>
        <w:spacing w:before="120" w:after="120"/>
      </w:pPr>
      <w:r>
        <w:t>温度监测器</w:t>
      </w:r>
    </w:p>
    <w:p w14:paraId="759A915F" w14:textId="77777777" w:rsidR="0029312F" w:rsidRDefault="00000000">
      <w:pPr>
        <w:pStyle w:val="afffffffff7"/>
      </w:pPr>
      <w:r>
        <w:rPr>
          <w:rFonts w:hint="eastAsia"/>
        </w:rPr>
        <w:t>应根据预期的辐照温度范围选择合金成分明确、熔化温度</w:t>
      </w:r>
      <w:proofErr w:type="gramStart"/>
      <w:r>
        <w:rPr>
          <w:rFonts w:hint="eastAsia"/>
        </w:rPr>
        <w:t>已知且</w:t>
      </w:r>
      <w:proofErr w:type="gramEnd"/>
      <w:r>
        <w:rPr>
          <w:rFonts w:hint="eastAsia"/>
        </w:rPr>
        <w:t>稳定的材料，并确保其经过校准，明确熔化温度与合金成分的对应关系。</w:t>
      </w:r>
    </w:p>
    <w:p w14:paraId="45C7CE84" w14:textId="77777777" w:rsidR="0029312F" w:rsidRDefault="00000000">
      <w:pPr>
        <w:pStyle w:val="afffffffff7"/>
      </w:pPr>
      <w:r>
        <w:rPr>
          <w:rFonts w:hint="eastAsia"/>
        </w:rPr>
        <w:t>每套温度监测器的数量应适当，应覆盖偏离预计温度10℃以上至潜在的最高温度的监测范围。</w:t>
      </w:r>
    </w:p>
    <w:p w14:paraId="1D4A721A" w14:textId="77777777" w:rsidR="0029312F" w:rsidRDefault="00000000">
      <w:pPr>
        <w:pStyle w:val="afffffffff7"/>
      </w:pPr>
      <w:r>
        <w:rPr>
          <w:rFonts w:hint="eastAsia"/>
        </w:rPr>
        <w:t>每套温度监测器中至少应有一个监测器的熔点高于预计的最高温度，确保监测器能表征试样所经历的环境温度，且不受制造、装配或辐照后检验的任何影响。</w:t>
      </w:r>
    </w:p>
    <w:p w14:paraId="4C08023F" w14:textId="77777777" w:rsidR="0029312F" w:rsidRDefault="00000000">
      <w:pPr>
        <w:pStyle w:val="afffffffff7"/>
      </w:pPr>
      <w:r>
        <w:rPr>
          <w:rFonts w:hint="eastAsia"/>
        </w:rPr>
        <w:t>温度监测器通常布置在辐照监督管内上、中、下部临近监督试样的位置或置于监督试样之间。</w:t>
      </w:r>
    </w:p>
    <w:p w14:paraId="6A4B0A91" w14:textId="77777777" w:rsidR="0029312F" w:rsidRDefault="00000000">
      <w:pPr>
        <w:pStyle w:val="afffffffff7"/>
      </w:pPr>
      <w:r>
        <w:rPr>
          <w:rFonts w:hint="eastAsia"/>
        </w:rPr>
        <w:t>温度监测器应封装于包壳内。包壳材料应对监测器无污染，且不影响制造期间的检查与辐照后测量。推荐采用石英包壳。</w:t>
      </w:r>
    </w:p>
    <w:p w14:paraId="5BE15B27" w14:textId="77777777" w:rsidR="0029312F" w:rsidRDefault="00000000">
      <w:pPr>
        <w:pStyle w:val="afff2"/>
        <w:spacing w:before="240" w:after="240"/>
      </w:pPr>
      <w:bookmarkStart w:id="79" w:name="_Toc216792892"/>
      <w:bookmarkStart w:id="80" w:name="_Toc216792860"/>
      <w:r>
        <w:t>辐照监督管制造</w:t>
      </w:r>
      <w:bookmarkEnd w:id="79"/>
      <w:bookmarkEnd w:id="80"/>
    </w:p>
    <w:p w14:paraId="6F72D862" w14:textId="77777777" w:rsidR="0029312F" w:rsidRDefault="00000000">
      <w:pPr>
        <w:pStyle w:val="afffffffff5"/>
      </w:pPr>
      <w:bookmarkStart w:id="81" w:name="_Toc23467"/>
      <w:bookmarkStart w:id="82" w:name="_Toc179060915"/>
      <w:bookmarkStart w:id="83" w:name="_Toc179008780"/>
      <w:r>
        <w:rPr>
          <w:rFonts w:hint="eastAsia"/>
        </w:rPr>
        <w:t>应严格按照辐照监督管的设计和制造文件，将力学性能监督试样、中子剂量探测器和温度监测器组件排布在辐照监督管内。</w:t>
      </w:r>
      <w:bookmarkEnd w:id="81"/>
      <w:bookmarkEnd w:id="82"/>
      <w:bookmarkEnd w:id="83"/>
    </w:p>
    <w:p w14:paraId="23E4130D" w14:textId="77777777" w:rsidR="0029312F" w:rsidRDefault="00000000">
      <w:pPr>
        <w:pStyle w:val="afffffffff5"/>
      </w:pPr>
      <w:bookmarkStart w:id="84" w:name="_Toc179008782"/>
      <w:bookmarkStart w:id="85" w:name="_Toc179060917"/>
      <w:bookmarkStart w:id="86" w:name="_Toc16114"/>
      <w:proofErr w:type="gramStart"/>
      <w:r>
        <w:rPr>
          <w:rFonts w:hint="eastAsia"/>
        </w:rPr>
        <w:t>宜制定</w:t>
      </w:r>
      <w:proofErr w:type="gramEnd"/>
      <w:r>
        <w:rPr>
          <w:rFonts w:hint="eastAsia"/>
        </w:rPr>
        <w:t>辐照监督管制造期间的监督见证计划和方案。</w:t>
      </w:r>
      <w:bookmarkEnd w:id="84"/>
      <w:bookmarkEnd w:id="85"/>
      <w:bookmarkEnd w:id="86"/>
    </w:p>
    <w:p w14:paraId="7FBB9F7A" w14:textId="77777777" w:rsidR="0029312F" w:rsidRDefault="00000000">
      <w:pPr>
        <w:pStyle w:val="afffffffff5"/>
      </w:pPr>
      <w:bookmarkStart w:id="87" w:name="_Toc179060918"/>
      <w:bookmarkStart w:id="88" w:name="_Toc179008783"/>
      <w:bookmarkStart w:id="89" w:name="_Toc25253"/>
      <w:r>
        <w:rPr>
          <w:rFonts w:hint="eastAsia"/>
          <w:szCs w:val="21"/>
        </w:rPr>
        <w:t>制造期间应按监督见证计划对过程进行监督和见证，并详细记录</w:t>
      </w:r>
      <w:r>
        <w:rPr>
          <w:rFonts w:hint="eastAsia"/>
        </w:rPr>
        <w:t>：</w:t>
      </w:r>
      <w:bookmarkEnd w:id="87"/>
      <w:bookmarkEnd w:id="88"/>
      <w:bookmarkEnd w:id="89"/>
    </w:p>
    <w:p w14:paraId="5BE20FA4" w14:textId="77777777" w:rsidR="0029312F" w:rsidRDefault="00000000">
      <w:pPr>
        <w:pStyle w:val="af8"/>
      </w:pPr>
      <w:r>
        <w:rPr>
          <w:rFonts w:hint="eastAsia"/>
        </w:rPr>
        <w:t>力学性能监督试样的完整性、表面状态、编号一致性及在监督管内的排布方式；</w:t>
      </w:r>
    </w:p>
    <w:p w14:paraId="0A7EFE64" w14:textId="77777777" w:rsidR="0029312F" w:rsidRDefault="00000000">
      <w:pPr>
        <w:pStyle w:val="af8"/>
      </w:pPr>
      <w:r>
        <w:rPr>
          <w:rFonts w:hint="eastAsia"/>
        </w:rPr>
        <w:t>中子剂量探测器的状态及其包壳的完整性；</w:t>
      </w:r>
    </w:p>
    <w:p w14:paraId="44F206D0" w14:textId="77777777" w:rsidR="0029312F" w:rsidRDefault="00000000">
      <w:pPr>
        <w:pStyle w:val="af8"/>
      </w:pPr>
      <w:r>
        <w:rPr>
          <w:rFonts w:hint="eastAsia"/>
        </w:rPr>
        <w:t>温度监测器的状态及包壳完整性。</w:t>
      </w:r>
    </w:p>
    <w:p w14:paraId="13FC3427" w14:textId="77777777" w:rsidR="0029312F" w:rsidRDefault="00000000">
      <w:pPr>
        <w:pStyle w:val="afffffffff5"/>
      </w:pPr>
      <w:bookmarkStart w:id="90" w:name="_Toc179060919"/>
      <w:bookmarkStart w:id="91" w:name="_Toc179008784"/>
      <w:bookmarkStart w:id="92" w:name="_Toc26839"/>
      <w:r>
        <w:rPr>
          <w:rFonts w:hint="eastAsia"/>
        </w:rPr>
        <w:t>应对力学性能监督试样、中子剂量探测器及温度监测器等的完工报告等文件的完整性、正确性进行检查，并详细核查其与设计文件的一致性。</w:t>
      </w:r>
      <w:bookmarkEnd w:id="90"/>
      <w:bookmarkEnd w:id="91"/>
      <w:bookmarkEnd w:id="92"/>
    </w:p>
    <w:p w14:paraId="4D6986CC" w14:textId="77777777" w:rsidR="0029312F" w:rsidRDefault="00000000">
      <w:pPr>
        <w:pStyle w:val="afffffffff5"/>
      </w:pPr>
      <w:bookmarkStart w:id="93" w:name="_Toc27599"/>
      <w:bookmarkStart w:id="94" w:name="_Toc179060920"/>
      <w:bookmarkStart w:id="95" w:name="_Toc179008785"/>
      <w:r>
        <w:rPr>
          <w:rFonts w:hint="eastAsia"/>
          <w:szCs w:val="21"/>
        </w:rPr>
        <w:t>完成制造见证后，宜编制辐照监督管见证报告，详细完整地记录辐照监督管制造竣工状态</w:t>
      </w:r>
      <w:r>
        <w:rPr>
          <w:rFonts w:hint="eastAsia"/>
        </w:rPr>
        <w:t>。</w:t>
      </w:r>
      <w:bookmarkEnd w:id="93"/>
      <w:bookmarkEnd w:id="94"/>
      <w:bookmarkEnd w:id="95"/>
    </w:p>
    <w:p w14:paraId="646516A6" w14:textId="77777777" w:rsidR="0029312F" w:rsidRDefault="00000000">
      <w:pPr>
        <w:pStyle w:val="afffffffff5"/>
      </w:pPr>
      <w:bookmarkStart w:id="96" w:name="_Toc9712"/>
      <w:r>
        <w:rPr>
          <w:rFonts w:hint="eastAsia"/>
        </w:rPr>
        <w:t>档案材料应确保类型、尺寸和型式符合设计文件规定，并有完整的资料和识别标记。</w:t>
      </w:r>
      <w:bookmarkEnd w:id="96"/>
    </w:p>
    <w:p w14:paraId="1522D6A4" w14:textId="77777777" w:rsidR="0029312F" w:rsidRDefault="00000000">
      <w:pPr>
        <w:pStyle w:val="afff2"/>
        <w:spacing w:before="240" w:after="240"/>
      </w:pPr>
      <w:bookmarkStart w:id="97" w:name="_Toc216792861"/>
      <w:bookmarkStart w:id="98" w:name="_Toc216792893"/>
      <w:r>
        <w:rPr>
          <w:rFonts w:hint="eastAsia"/>
        </w:rPr>
        <w:t>辐照监督管安装、提取与运输</w:t>
      </w:r>
      <w:bookmarkEnd w:id="97"/>
      <w:bookmarkEnd w:id="98"/>
    </w:p>
    <w:p w14:paraId="7491207A" w14:textId="77777777" w:rsidR="0029312F" w:rsidRDefault="00000000">
      <w:pPr>
        <w:pStyle w:val="afff3"/>
        <w:spacing w:before="120" w:after="120"/>
      </w:pPr>
      <w:bookmarkStart w:id="99" w:name="_Toc216792862"/>
      <w:r>
        <w:rPr>
          <w:rFonts w:hint="eastAsia"/>
        </w:rPr>
        <w:t>辐照监督管安装</w:t>
      </w:r>
      <w:bookmarkEnd w:id="99"/>
    </w:p>
    <w:p w14:paraId="7E97CC6C" w14:textId="77777777" w:rsidR="0029312F" w:rsidRDefault="00000000">
      <w:pPr>
        <w:pStyle w:val="afffffffff8"/>
      </w:pPr>
      <w:r>
        <w:rPr>
          <w:rFonts w:hint="eastAsia"/>
        </w:rPr>
        <w:t>应制定辐照监督管安装期间的见证计划和方案。</w:t>
      </w:r>
    </w:p>
    <w:p w14:paraId="208A3EDA" w14:textId="77777777" w:rsidR="0029312F" w:rsidRDefault="00000000">
      <w:pPr>
        <w:pStyle w:val="afffffffff8"/>
      </w:pPr>
      <w:r>
        <w:rPr>
          <w:rFonts w:hint="eastAsia"/>
        </w:rPr>
        <w:t>安装前应依据辐照监督管制造技术要求对辐照监督管的表面状态、结构完整性等进行详细检查。</w:t>
      </w:r>
    </w:p>
    <w:p w14:paraId="7299EF29" w14:textId="77777777" w:rsidR="0029312F" w:rsidRDefault="00000000">
      <w:pPr>
        <w:pStyle w:val="afffffffff8"/>
      </w:pPr>
      <w:r>
        <w:rPr>
          <w:rFonts w:hint="eastAsia"/>
        </w:rPr>
        <w:t>应确定反应堆压力容器方位，并明确辐照监督管安装角度与反应堆方位的对应关系。</w:t>
      </w:r>
    </w:p>
    <w:p w14:paraId="1678DA0E" w14:textId="77777777" w:rsidR="0029312F" w:rsidRDefault="00000000">
      <w:pPr>
        <w:pStyle w:val="afffffffff8"/>
      </w:pPr>
      <w:r>
        <w:rPr>
          <w:rFonts w:hint="eastAsia"/>
        </w:rPr>
        <w:t>安装过程中应依据辐照监督大纲中规定的各辐照监督管所处方位，详细核对辐照监督管编号，将其安装至对应位置，并拍照记录各监督管编号及安装位置。</w:t>
      </w:r>
    </w:p>
    <w:p w14:paraId="3551FCC4" w14:textId="77777777" w:rsidR="0029312F" w:rsidRDefault="00000000">
      <w:pPr>
        <w:pStyle w:val="afffffffff8"/>
      </w:pPr>
      <w:r>
        <w:rPr>
          <w:rFonts w:hint="eastAsia"/>
        </w:rPr>
        <w:t>安装过程中应确认辐照监督管阳面朝向反应堆堆芯，并拍照记录各监督管阳面的安装方向。</w:t>
      </w:r>
    </w:p>
    <w:p w14:paraId="255AAF17" w14:textId="77777777" w:rsidR="0029312F" w:rsidRDefault="00000000">
      <w:pPr>
        <w:pStyle w:val="afffffffff8"/>
      </w:pPr>
      <w:r>
        <w:rPr>
          <w:rFonts w:hint="eastAsia"/>
        </w:rPr>
        <w:t>安装完成后，应编制辐照监督管安装见证报告，详细记录各辐照监督管的安装状态。</w:t>
      </w:r>
    </w:p>
    <w:p w14:paraId="22FBCE90" w14:textId="77777777" w:rsidR="0029312F" w:rsidRDefault="00000000">
      <w:pPr>
        <w:pStyle w:val="afff3"/>
        <w:spacing w:before="120" w:after="120"/>
      </w:pPr>
      <w:bookmarkStart w:id="100" w:name="_Toc216792863"/>
      <w:r>
        <w:rPr>
          <w:rFonts w:hint="eastAsia"/>
        </w:rPr>
        <w:t>辐照监督管提取</w:t>
      </w:r>
      <w:bookmarkEnd w:id="100"/>
    </w:p>
    <w:p w14:paraId="31302F8C" w14:textId="77777777" w:rsidR="0029312F" w:rsidRDefault="00000000">
      <w:pPr>
        <w:pStyle w:val="afffffffff8"/>
      </w:pPr>
      <w:r>
        <w:rPr>
          <w:rFonts w:hint="eastAsia"/>
        </w:rPr>
        <w:t>辐照监督管应按辐照监督大纲规定的计划进行提取，具体时间应结合机组运行与大修安排确定。</w:t>
      </w:r>
    </w:p>
    <w:p w14:paraId="209CE168" w14:textId="77777777" w:rsidR="0029312F" w:rsidRDefault="00000000">
      <w:pPr>
        <w:pStyle w:val="afffffffff8"/>
      </w:pPr>
      <w:r>
        <w:rPr>
          <w:rFonts w:hint="eastAsia"/>
        </w:rPr>
        <w:t>提取前应制定详细的提取方案，明确各工作参与方的职责，包括：</w:t>
      </w:r>
    </w:p>
    <w:p w14:paraId="3D801A90" w14:textId="77777777" w:rsidR="0029312F" w:rsidRDefault="00000000">
      <w:pPr>
        <w:pStyle w:val="af8"/>
      </w:pPr>
      <w:r>
        <w:rPr>
          <w:rFonts w:hint="eastAsia"/>
        </w:rPr>
        <w:t>运输容器准备及辐照监督管装载方法；</w:t>
      </w:r>
    </w:p>
    <w:p w14:paraId="7687E099" w14:textId="77777777" w:rsidR="0029312F" w:rsidRDefault="00000000">
      <w:pPr>
        <w:pStyle w:val="af8"/>
      </w:pPr>
      <w:r>
        <w:rPr>
          <w:rFonts w:hint="eastAsia"/>
        </w:rPr>
        <w:t>提取设备、工具及操作方法；</w:t>
      </w:r>
    </w:p>
    <w:p w14:paraId="55C04910" w14:textId="77777777" w:rsidR="0029312F" w:rsidRDefault="00000000">
      <w:pPr>
        <w:pStyle w:val="af8"/>
      </w:pPr>
      <w:r>
        <w:rPr>
          <w:rFonts w:hint="eastAsia"/>
        </w:rPr>
        <w:t>装入容器后的去污处理及包装方法；</w:t>
      </w:r>
    </w:p>
    <w:p w14:paraId="4CBFD1D7" w14:textId="77777777" w:rsidR="0029312F" w:rsidRDefault="00000000">
      <w:pPr>
        <w:pStyle w:val="af8"/>
      </w:pPr>
      <w:r>
        <w:rPr>
          <w:rFonts w:hint="eastAsia"/>
        </w:rPr>
        <w:t>提取后辐照监督管运输容器在核电厂厂区内的存放和转运。</w:t>
      </w:r>
    </w:p>
    <w:p w14:paraId="75E1F593" w14:textId="77777777" w:rsidR="0029312F" w:rsidRDefault="00000000">
      <w:pPr>
        <w:pStyle w:val="afff3"/>
        <w:spacing w:before="120" w:after="120"/>
      </w:pPr>
      <w:bookmarkStart w:id="101" w:name="_Toc216792864"/>
      <w:r>
        <w:rPr>
          <w:rFonts w:hint="eastAsia"/>
        </w:rPr>
        <w:t>辐照监督管运输</w:t>
      </w:r>
      <w:bookmarkEnd w:id="101"/>
    </w:p>
    <w:p w14:paraId="78970BC0" w14:textId="77777777" w:rsidR="0029312F" w:rsidRDefault="00000000">
      <w:pPr>
        <w:pStyle w:val="afffffffff8"/>
      </w:pPr>
      <w:r>
        <w:rPr>
          <w:rFonts w:hint="eastAsia"/>
        </w:rPr>
        <w:t>运输工作应严格遵守电厂内放射性物品运输管理规定及国家相关放射性物品道路运输法规条例。</w:t>
      </w:r>
    </w:p>
    <w:p w14:paraId="55AAAE9F" w14:textId="77777777" w:rsidR="0029312F" w:rsidRDefault="00000000">
      <w:pPr>
        <w:pStyle w:val="afffffffff8"/>
      </w:pPr>
      <w:r>
        <w:rPr>
          <w:rFonts w:hint="eastAsia"/>
        </w:rPr>
        <w:t>运输容器应按相关法规规范要求进行备案，并在辐照监督管提取的大修停堆前至少1个月运输至核电厂现场。</w:t>
      </w:r>
    </w:p>
    <w:p w14:paraId="0FF9FCEE" w14:textId="77777777" w:rsidR="0029312F" w:rsidRDefault="00000000">
      <w:pPr>
        <w:pStyle w:val="afffffffff8"/>
      </w:pPr>
      <w:r>
        <w:rPr>
          <w:rFonts w:hint="eastAsia"/>
        </w:rPr>
        <w:lastRenderedPageBreak/>
        <w:t>应提前准备道路运输备案文件，并提交当地公安部门审核，文件至少包括：</w:t>
      </w:r>
    </w:p>
    <w:p w14:paraId="0468F0E9" w14:textId="77777777" w:rsidR="0029312F" w:rsidRDefault="00000000">
      <w:pPr>
        <w:pStyle w:val="af8"/>
      </w:pPr>
      <w:r>
        <w:rPr>
          <w:rFonts w:hint="eastAsia"/>
        </w:rPr>
        <w:t>所装放射性内容物的说明，包括物理和化学特性、拟申请的运输量；</w:t>
      </w:r>
    </w:p>
    <w:p w14:paraId="48EEC1D5" w14:textId="77777777" w:rsidR="0029312F" w:rsidRDefault="00000000">
      <w:pPr>
        <w:pStyle w:val="af8"/>
      </w:pPr>
      <w:r>
        <w:rPr>
          <w:rFonts w:hint="eastAsia"/>
        </w:rPr>
        <w:t>所使用的运输容器设计、制造批准情况；</w:t>
      </w:r>
    </w:p>
    <w:p w14:paraId="0A8EE226" w14:textId="77777777" w:rsidR="0029312F" w:rsidRDefault="00000000">
      <w:pPr>
        <w:pStyle w:val="af8"/>
      </w:pPr>
      <w:r>
        <w:rPr>
          <w:rFonts w:hint="eastAsia"/>
        </w:rPr>
        <w:t>运输方式、运输方案的详细说明；</w:t>
      </w:r>
    </w:p>
    <w:p w14:paraId="26867026" w14:textId="77777777" w:rsidR="0029312F" w:rsidRDefault="00000000">
      <w:pPr>
        <w:pStyle w:val="af8"/>
      </w:pPr>
      <w:r>
        <w:rPr>
          <w:rFonts w:hint="eastAsia"/>
        </w:rPr>
        <w:t>对运输人员必要的辐射防护评价及辐射防护措施；</w:t>
      </w:r>
    </w:p>
    <w:p w14:paraId="0E8918F5" w14:textId="77777777" w:rsidR="0029312F" w:rsidRDefault="00000000">
      <w:pPr>
        <w:pStyle w:val="af8"/>
      </w:pPr>
      <w:r>
        <w:rPr>
          <w:rFonts w:hint="eastAsia"/>
        </w:rPr>
        <w:t>必要的应急措施、质量保证措施。</w:t>
      </w:r>
    </w:p>
    <w:p w14:paraId="3C8F167E" w14:textId="77777777" w:rsidR="0029312F" w:rsidRDefault="00000000">
      <w:pPr>
        <w:pStyle w:val="afffffffff8"/>
      </w:pPr>
      <w:r>
        <w:rPr>
          <w:rFonts w:hint="eastAsia"/>
        </w:rPr>
        <w:t>辐照监督管提取后的运输工作可参照以下顺序开展：</w:t>
      </w:r>
    </w:p>
    <w:p w14:paraId="585EAF0C" w14:textId="77777777" w:rsidR="0029312F" w:rsidRDefault="00000000">
      <w:pPr>
        <w:pStyle w:val="af8"/>
      </w:pPr>
      <w:r>
        <w:rPr>
          <w:rFonts w:hint="eastAsia"/>
        </w:rPr>
        <w:t>将辐照监督管装入运输容器后，对容器表面进行充分</w:t>
      </w:r>
      <w:proofErr w:type="gramStart"/>
      <w:r>
        <w:rPr>
          <w:rFonts w:hint="eastAsia"/>
        </w:rPr>
        <w:t>清洗并控水</w:t>
      </w:r>
      <w:proofErr w:type="gramEnd"/>
      <w:r>
        <w:rPr>
          <w:rFonts w:hint="eastAsia"/>
        </w:rPr>
        <w:t>；</w:t>
      </w:r>
    </w:p>
    <w:p w14:paraId="436E3FF1" w14:textId="77777777" w:rsidR="0029312F" w:rsidRDefault="00000000">
      <w:pPr>
        <w:pStyle w:val="af8"/>
      </w:pPr>
      <w:r>
        <w:rPr>
          <w:rFonts w:hint="eastAsia"/>
        </w:rPr>
        <w:t>充分控水后测量容器表面</w:t>
      </w:r>
      <w:proofErr w:type="gramStart"/>
      <w:r>
        <w:rPr>
          <w:rFonts w:hint="eastAsia"/>
        </w:rPr>
        <w:t>沾污</w:t>
      </w:r>
      <w:proofErr w:type="gramEnd"/>
      <w:r>
        <w:rPr>
          <w:rFonts w:hint="eastAsia"/>
        </w:rPr>
        <w:t>水平，如不能满足出厂运输要求，则需要重新冲洗去污，直至达标；</w:t>
      </w:r>
    </w:p>
    <w:p w14:paraId="7797DF8F" w14:textId="77777777" w:rsidR="0029312F" w:rsidRDefault="00000000">
      <w:pPr>
        <w:pStyle w:val="af8"/>
      </w:pPr>
      <w:r>
        <w:rPr>
          <w:rFonts w:hint="eastAsia"/>
        </w:rPr>
        <w:t>采用放射性物品专用包覆材料对容器进行包覆，然后测量包覆后容器的表面</w:t>
      </w:r>
      <w:proofErr w:type="gramStart"/>
      <w:r>
        <w:rPr>
          <w:rFonts w:hint="eastAsia"/>
        </w:rPr>
        <w:t>沾污</w:t>
      </w:r>
      <w:proofErr w:type="gramEnd"/>
      <w:r>
        <w:rPr>
          <w:rFonts w:hint="eastAsia"/>
        </w:rPr>
        <w:t>水平及特定距离处的剂量水平，如不能满足厂内和道路运输要求，需要去污处理或者加装屏蔽；</w:t>
      </w:r>
    </w:p>
    <w:p w14:paraId="18685714" w14:textId="77777777" w:rsidR="0029312F" w:rsidRDefault="00000000">
      <w:pPr>
        <w:pStyle w:val="af8"/>
      </w:pPr>
      <w:r>
        <w:rPr>
          <w:rFonts w:hint="eastAsia"/>
        </w:rPr>
        <w:t>将包装好的监督管运输容器吊装至放射性物品运输专用车辆，按核电厂放射性物品出厂辐射监测要求，测量表面</w:t>
      </w:r>
      <w:proofErr w:type="gramStart"/>
      <w:r>
        <w:rPr>
          <w:rFonts w:hint="eastAsia"/>
        </w:rPr>
        <w:t>沾污</w:t>
      </w:r>
      <w:proofErr w:type="gramEnd"/>
      <w:r>
        <w:rPr>
          <w:rFonts w:hint="eastAsia"/>
        </w:rPr>
        <w:t>及特定距离剂量水平，填写放射性物品出厂记录表；</w:t>
      </w:r>
    </w:p>
    <w:p w14:paraId="75E163EB" w14:textId="77777777" w:rsidR="0029312F" w:rsidRDefault="00000000">
      <w:pPr>
        <w:pStyle w:val="af8"/>
      </w:pPr>
      <w:r>
        <w:rPr>
          <w:rFonts w:hint="eastAsia"/>
        </w:rPr>
        <w:t>依据放射性物品运输管理规定办理辐照监督管道路运输备案，审批通过后按运输方案实施从电厂至测试实验室的道路运输。</w:t>
      </w:r>
    </w:p>
    <w:p w14:paraId="62C31D6A" w14:textId="77777777" w:rsidR="0029312F" w:rsidRDefault="00000000">
      <w:pPr>
        <w:pStyle w:val="afff2"/>
        <w:spacing w:before="240" w:after="240"/>
      </w:pPr>
      <w:bookmarkStart w:id="102" w:name="_Toc216792894"/>
      <w:bookmarkStart w:id="103" w:name="_Toc216792865"/>
      <w:r>
        <w:rPr>
          <w:rFonts w:hint="eastAsia"/>
        </w:rPr>
        <w:t>辐照监督管切割解体和样品检查</w:t>
      </w:r>
      <w:bookmarkEnd w:id="102"/>
      <w:bookmarkEnd w:id="103"/>
    </w:p>
    <w:p w14:paraId="724C4CD6" w14:textId="77777777" w:rsidR="0029312F" w:rsidRDefault="00000000">
      <w:pPr>
        <w:pStyle w:val="afff3"/>
        <w:spacing w:before="120" w:after="120"/>
      </w:pPr>
      <w:bookmarkStart w:id="104" w:name="_Toc216792866"/>
      <w:r>
        <w:rPr>
          <w:rFonts w:hint="eastAsia"/>
        </w:rPr>
        <w:t>辐照监督管切割解体</w:t>
      </w:r>
      <w:bookmarkEnd w:id="104"/>
    </w:p>
    <w:p w14:paraId="742CAC12" w14:textId="77777777" w:rsidR="0029312F" w:rsidRDefault="00000000">
      <w:pPr>
        <w:pStyle w:val="afffffffff8"/>
      </w:pPr>
      <w:r>
        <w:rPr>
          <w:rFonts w:hint="eastAsia"/>
        </w:rPr>
        <w:t>应依据辐照监督管的结构与尺寸制定切割解体程序，并严格按程序执行，确保不损坏管内试样及测量元件。</w:t>
      </w:r>
    </w:p>
    <w:p w14:paraId="70D211F7" w14:textId="77777777" w:rsidR="0029312F" w:rsidRDefault="00000000">
      <w:pPr>
        <w:pStyle w:val="afffffffff8"/>
      </w:pPr>
      <w:r>
        <w:rPr>
          <w:rFonts w:hint="eastAsia"/>
        </w:rPr>
        <w:t>解体前，应仔细核对辐照监督管编号、检查表面状态及阴阳面标识等，如有异常应予以记录。</w:t>
      </w:r>
    </w:p>
    <w:p w14:paraId="4608326E" w14:textId="77777777" w:rsidR="0029312F" w:rsidRDefault="00000000">
      <w:pPr>
        <w:pStyle w:val="afffffffff8"/>
      </w:pPr>
      <w:r>
        <w:rPr>
          <w:rFonts w:hint="eastAsia"/>
        </w:rPr>
        <w:t>应配备适宜的专用工具完成辐照监督管切割解体，确保辐照监督管在切割解体过程中，其内部试样与测量</w:t>
      </w:r>
      <w:proofErr w:type="gramStart"/>
      <w:r>
        <w:rPr>
          <w:rFonts w:hint="eastAsia"/>
        </w:rPr>
        <w:t>盒保持</w:t>
      </w:r>
      <w:proofErr w:type="gramEnd"/>
      <w:r>
        <w:rPr>
          <w:rFonts w:hint="eastAsia"/>
        </w:rPr>
        <w:t>固定，不致散落。</w:t>
      </w:r>
    </w:p>
    <w:p w14:paraId="43838FFC" w14:textId="77777777" w:rsidR="0029312F" w:rsidRDefault="00000000">
      <w:pPr>
        <w:pStyle w:val="afffffffff8"/>
      </w:pPr>
      <w:r>
        <w:rPr>
          <w:rFonts w:hint="eastAsia"/>
        </w:rPr>
        <w:t>应为各种类型试样和测量</w:t>
      </w:r>
      <w:proofErr w:type="gramStart"/>
      <w:r>
        <w:rPr>
          <w:rFonts w:hint="eastAsia"/>
        </w:rPr>
        <w:t>盒准备</w:t>
      </w:r>
      <w:proofErr w:type="gramEnd"/>
      <w:r>
        <w:rPr>
          <w:rFonts w:hint="eastAsia"/>
        </w:rPr>
        <w:t>独立的存储盒，将试样和测量</w:t>
      </w:r>
      <w:proofErr w:type="gramStart"/>
      <w:r>
        <w:rPr>
          <w:rFonts w:hint="eastAsia"/>
        </w:rPr>
        <w:t>盒独立</w:t>
      </w:r>
      <w:proofErr w:type="gramEnd"/>
      <w:r>
        <w:rPr>
          <w:rFonts w:hint="eastAsia"/>
        </w:rPr>
        <w:t>放置在各自存储盒内。</w:t>
      </w:r>
    </w:p>
    <w:p w14:paraId="29379136" w14:textId="77777777" w:rsidR="0029312F" w:rsidRDefault="00000000">
      <w:pPr>
        <w:pStyle w:val="afffffffff8"/>
      </w:pPr>
      <w:r>
        <w:rPr>
          <w:rFonts w:hint="eastAsia"/>
        </w:rPr>
        <w:t>应对辐照监督管阴面和阳面分别取样，并通过测量所取样品的活度水平，确定阴阳面是否与计划安装方向一致。</w:t>
      </w:r>
    </w:p>
    <w:p w14:paraId="53CA9637" w14:textId="77777777" w:rsidR="0029312F" w:rsidRDefault="00000000">
      <w:pPr>
        <w:pStyle w:val="afffffffff8"/>
      </w:pPr>
      <w:r>
        <w:rPr>
          <w:rFonts w:hint="eastAsia"/>
        </w:rPr>
        <w:t>根据测量盒的尺寸和结构，配备合适的工具完成其切割解体。</w:t>
      </w:r>
    </w:p>
    <w:p w14:paraId="1DF18E67" w14:textId="77777777" w:rsidR="0029312F" w:rsidRDefault="00000000">
      <w:pPr>
        <w:pStyle w:val="afffffffff8"/>
      </w:pPr>
      <w:r>
        <w:rPr>
          <w:rFonts w:hint="eastAsia"/>
        </w:rPr>
        <w:t>测量盒解体前，应依据内部测量元件的编号预先准备相应的做好标识的包装袋。解体时，须按顺序逐一取出测量元件，并立即放入对应的独立包装袋中密封保存。</w:t>
      </w:r>
    </w:p>
    <w:p w14:paraId="56F0D7C3" w14:textId="77777777" w:rsidR="0029312F" w:rsidRDefault="00000000">
      <w:pPr>
        <w:pStyle w:val="afffffffff8"/>
      </w:pPr>
      <w:r>
        <w:rPr>
          <w:rFonts w:hint="eastAsia"/>
        </w:rPr>
        <w:t>对于有包壳的中子剂量探测器，应先检查包壳及探测器的完整性，然后用合适的工具破除包壳。包壳破除过程中应注意：</w:t>
      </w:r>
    </w:p>
    <w:p w14:paraId="70924594" w14:textId="77777777" w:rsidR="0029312F" w:rsidRDefault="00000000">
      <w:pPr>
        <w:pStyle w:val="af8"/>
      </w:pPr>
      <w:r>
        <w:rPr>
          <w:rFonts w:hint="eastAsia"/>
        </w:rPr>
        <w:t>包壳通常为石英玻璃或镉材质，破除时应选用合适工具，避免包壳碎片</w:t>
      </w:r>
      <w:proofErr w:type="gramStart"/>
      <w:r>
        <w:rPr>
          <w:rFonts w:hint="eastAsia"/>
        </w:rPr>
        <w:t>沾污</w:t>
      </w:r>
      <w:proofErr w:type="gramEnd"/>
      <w:r>
        <w:rPr>
          <w:rFonts w:hint="eastAsia"/>
        </w:rPr>
        <w:t>探测器；</w:t>
      </w:r>
    </w:p>
    <w:p w14:paraId="368434A1" w14:textId="77777777" w:rsidR="0029312F" w:rsidRDefault="00000000">
      <w:pPr>
        <w:pStyle w:val="af8"/>
      </w:pPr>
      <w:r>
        <w:rPr>
          <w:rFonts w:hint="eastAsia"/>
        </w:rPr>
        <w:t>切割分装过程中应非常谨慎，避免探测器丢失、破损；</w:t>
      </w:r>
    </w:p>
    <w:p w14:paraId="08E3D3B1" w14:textId="77777777" w:rsidR="0029312F" w:rsidRDefault="00000000">
      <w:pPr>
        <w:pStyle w:val="af8"/>
      </w:pPr>
      <w:r>
        <w:rPr>
          <w:rFonts w:hint="eastAsia"/>
        </w:rPr>
        <w:t>探测器取出后应立即装入已标识的独立包装袋，标识应至少说明其在监督管内的位置及种类；</w:t>
      </w:r>
    </w:p>
    <w:p w14:paraId="273CE08E" w14:textId="77777777" w:rsidR="0029312F" w:rsidRDefault="00000000">
      <w:pPr>
        <w:pStyle w:val="af8"/>
      </w:pPr>
      <w:r>
        <w:rPr>
          <w:rFonts w:hint="eastAsia"/>
        </w:rPr>
        <w:t>若探测器发生脆化，应选取最大尺寸的残片供后续测量，残余部分用单独包装袋妥善保存并标记；</w:t>
      </w:r>
    </w:p>
    <w:p w14:paraId="657F645A" w14:textId="77777777" w:rsidR="0029312F" w:rsidRDefault="00000000">
      <w:pPr>
        <w:pStyle w:val="af8"/>
      </w:pPr>
      <w:r>
        <w:rPr>
          <w:rFonts w:hint="eastAsia"/>
        </w:rPr>
        <w:t>如探测器脆化成粉末状，应谨慎处理，将粉末倒入已标识的独立包装袋，应避免包壳碎片混入包装袋内。</w:t>
      </w:r>
    </w:p>
    <w:p w14:paraId="6339B672" w14:textId="77777777" w:rsidR="0029312F" w:rsidRDefault="00000000">
      <w:pPr>
        <w:pStyle w:val="afffffffff8"/>
      </w:pPr>
      <w:r>
        <w:rPr>
          <w:rFonts w:hint="eastAsia"/>
        </w:rPr>
        <w:t>温度监测器应保持包壳完整，从测量盒内取出后立即装入已标识的独立包装袋，标识应至少说明其位置及熔点。</w:t>
      </w:r>
    </w:p>
    <w:p w14:paraId="381926E1" w14:textId="77777777" w:rsidR="0029312F" w:rsidRDefault="00000000">
      <w:pPr>
        <w:pStyle w:val="afff3"/>
        <w:spacing w:before="120" w:after="120"/>
      </w:pPr>
      <w:bookmarkStart w:id="105" w:name="_Toc216792867"/>
      <w:r>
        <w:rPr>
          <w:rFonts w:hint="eastAsia"/>
        </w:rPr>
        <w:t>辐照监督管样品检查</w:t>
      </w:r>
      <w:bookmarkEnd w:id="105"/>
    </w:p>
    <w:p w14:paraId="37F55C0E" w14:textId="77777777" w:rsidR="0029312F" w:rsidRDefault="00000000">
      <w:pPr>
        <w:pStyle w:val="afffffffff8"/>
      </w:pPr>
      <w:r>
        <w:rPr>
          <w:rFonts w:hint="eastAsia"/>
        </w:rPr>
        <w:t>应依据辐照监督大纲、辐照监督管制造技术规格书及制造见证报告等文件，对监督管内的力学性能监督试样和测量元件状态进行检查。</w:t>
      </w:r>
    </w:p>
    <w:p w14:paraId="5AD96884" w14:textId="77777777" w:rsidR="0029312F" w:rsidRDefault="00000000">
      <w:pPr>
        <w:pStyle w:val="afffffffff8"/>
      </w:pPr>
      <w:r>
        <w:rPr>
          <w:rFonts w:hint="eastAsia"/>
        </w:rPr>
        <w:t>辐照监督管内力学性能监督试样和测量元件检查内容应包括：</w:t>
      </w:r>
    </w:p>
    <w:p w14:paraId="618B6B37" w14:textId="77777777" w:rsidR="0029312F" w:rsidRDefault="00000000">
      <w:pPr>
        <w:pStyle w:val="af8"/>
      </w:pPr>
      <w:r>
        <w:rPr>
          <w:rFonts w:hint="eastAsia"/>
        </w:rPr>
        <w:t>检查力学性能监督试样和测量元件的状态及完整性；</w:t>
      </w:r>
    </w:p>
    <w:p w14:paraId="3C9CFFF6" w14:textId="77777777" w:rsidR="0029312F" w:rsidRDefault="00000000">
      <w:pPr>
        <w:pStyle w:val="af8"/>
      </w:pPr>
      <w:r>
        <w:rPr>
          <w:rFonts w:hint="eastAsia"/>
        </w:rPr>
        <w:lastRenderedPageBreak/>
        <w:t>检查、确认并记录各种力学性能监督试样及测量元件的编号，与辐照监督管制造技术规格书的规定及制造见证报告对比，确认一致性；</w:t>
      </w:r>
    </w:p>
    <w:p w14:paraId="6E14582E" w14:textId="77777777" w:rsidR="0029312F" w:rsidRDefault="00000000">
      <w:pPr>
        <w:pStyle w:val="af8"/>
      </w:pPr>
      <w:r>
        <w:rPr>
          <w:rFonts w:hint="eastAsia"/>
        </w:rPr>
        <w:t>检查、确认并记录不同类型材料力学性能监督试样在辐照监督管内的放置位置，并与安装见证报告记录对比；</w:t>
      </w:r>
    </w:p>
    <w:p w14:paraId="1D87D86C" w14:textId="77777777" w:rsidR="0029312F" w:rsidRDefault="00000000">
      <w:pPr>
        <w:pStyle w:val="af8"/>
      </w:pPr>
      <w:r>
        <w:rPr>
          <w:rFonts w:hint="eastAsia"/>
        </w:rPr>
        <w:t>检查、确认并记录各测量元件的状态及完整性，确认与制造技术规格书及竣工报告记录是否一致；</w:t>
      </w:r>
    </w:p>
    <w:p w14:paraId="7F865683" w14:textId="77777777" w:rsidR="0029312F" w:rsidRDefault="00000000">
      <w:pPr>
        <w:pStyle w:val="af8"/>
      </w:pPr>
      <w:r>
        <w:rPr>
          <w:rFonts w:hint="eastAsia"/>
        </w:rPr>
        <w:t>如有异常情况（如试样变形、包壳破损、中子剂量探测器脆化等），应如实记录并及时反馈，进行后续评估处理。</w:t>
      </w:r>
    </w:p>
    <w:p w14:paraId="5FB1D108" w14:textId="77777777" w:rsidR="0029312F" w:rsidRDefault="00000000">
      <w:pPr>
        <w:pStyle w:val="afffffffff8"/>
      </w:pPr>
      <w:r>
        <w:rPr>
          <w:rFonts w:hint="eastAsia"/>
        </w:rPr>
        <w:t>上述检查过程应拍照记录。</w:t>
      </w:r>
    </w:p>
    <w:p w14:paraId="43ACFA0C" w14:textId="77777777" w:rsidR="0029312F" w:rsidRDefault="00000000">
      <w:pPr>
        <w:pStyle w:val="afff3"/>
        <w:spacing w:before="120" w:after="120"/>
      </w:pPr>
      <w:r>
        <w:rPr>
          <w:rFonts w:hint="eastAsia"/>
        </w:rPr>
        <w:t>报告</w:t>
      </w:r>
    </w:p>
    <w:p w14:paraId="5E01658A" w14:textId="77777777" w:rsidR="0029312F" w:rsidRDefault="00000000">
      <w:pPr>
        <w:pStyle w:val="affffffffffff1"/>
      </w:pPr>
      <w:r>
        <w:rPr>
          <w:rFonts w:hint="eastAsia"/>
        </w:rPr>
        <w:t>应编制辐照监督管切割解体及检查报告，记录切割解体过程和检查结果。</w:t>
      </w:r>
    </w:p>
    <w:p w14:paraId="76A14E66" w14:textId="77777777" w:rsidR="0029312F" w:rsidRDefault="00000000">
      <w:pPr>
        <w:pStyle w:val="afff2"/>
        <w:spacing w:before="240" w:after="240"/>
      </w:pPr>
      <w:bookmarkStart w:id="106" w:name="_Toc216792895"/>
      <w:bookmarkStart w:id="107" w:name="_Toc216792868"/>
      <w:r>
        <w:rPr>
          <w:rFonts w:hint="eastAsia"/>
        </w:rPr>
        <w:t>辐照监督试验</w:t>
      </w:r>
      <w:bookmarkEnd w:id="106"/>
      <w:bookmarkEnd w:id="107"/>
    </w:p>
    <w:p w14:paraId="25499525" w14:textId="77777777" w:rsidR="0029312F" w:rsidRDefault="00000000">
      <w:pPr>
        <w:pStyle w:val="afff3"/>
        <w:spacing w:before="120" w:after="120"/>
      </w:pPr>
      <w:bookmarkStart w:id="108" w:name="_Toc216792869"/>
      <w:r>
        <w:rPr>
          <w:rFonts w:hint="eastAsia"/>
        </w:rPr>
        <w:t>一般要求</w:t>
      </w:r>
      <w:bookmarkEnd w:id="108"/>
    </w:p>
    <w:p w14:paraId="12EB6A1C" w14:textId="77777777" w:rsidR="0029312F" w:rsidRDefault="00000000">
      <w:pPr>
        <w:pStyle w:val="afffffffff8"/>
      </w:pPr>
      <w:r>
        <w:rPr>
          <w:rFonts w:hint="eastAsia"/>
        </w:rPr>
        <w:t>辐照监督管提取后应在下一次反应堆换料大修结束前完成试验，以便及时评估压力容器材料的性能变化，为后续运行决策提供依据。</w:t>
      </w:r>
    </w:p>
    <w:p w14:paraId="6C527A74" w14:textId="77777777" w:rsidR="0029312F" w:rsidRDefault="00000000">
      <w:pPr>
        <w:pStyle w:val="afffffffff8"/>
      </w:pPr>
      <w:r>
        <w:rPr>
          <w:rFonts w:hint="eastAsia"/>
        </w:rPr>
        <w:t>所有辐照监督试验活动必须在严格的安全与质量保证体系下进行。试验单位应具备相应的资质，试验人员须经专业培训并考核合格。涉及放射性试样的操作，必须制定并执行辐射防护措施，确保人员受辐照水平合理可行尽量低。</w:t>
      </w:r>
    </w:p>
    <w:p w14:paraId="33309C84" w14:textId="77777777" w:rsidR="0029312F" w:rsidRDefault="00000000">
      <w:pPr>
        <w:pStyle w:val="afffffffff8"/>
      </w:pPr>
      <w:r>
        <w:rPr>
          <w:rFonts w:hint="eastAsia"/>
        </w:rPr>
        <w:t>试验程序、方法及设备必须遵循辐照监督大纲要求的标准与规范。</w:t>
      </w:r>
    </w:p>
    <w:p w14:paraId="6AF14ED7" w14:textId="77777777" w:rsidR="0029312F" w:rsidRDefault="00000000">
      <w:pPr>
        <w:pStyle w:val="afffffffff8"/>
      </w:pPr>
      <w:r>
        <w:rPr>
          <w:rFonts w:hint="eastAsia"/>
        </w:rPr>
        <w:t>试验前，必须确认试样的辐照历史和温度历史是</w:t>
      </w:r>
      <w:proofErr w:type="gramStart"/>
      <w:r>
        <w:rPr>
          <w:rFonts w:hint="eastAsia"/>
        </w:rPr>
        <w:t>已知且</w:t>
      </w:r>
      <w:proofErr w:type="gramEnd"/>
      <w:r>
        <w:rPr>
          <w:rFonts w:hint="eastAsia"/>
        </w:rPr>
        <w:t>经过验证的。所有力学性能监督试样、中子剂量探测器和温度监测器均需具备唯一性标识，确保从取样、辐照、运输、贮存到试验的全过程数据链完整、可追溯。</w:t>
      </w:r>
    </w:p>
    <w:p w14:paraId="466A749B" w14:textId="77777777" w:rsidR="0029312F" w:rsidRDefault="00000000">
      <w:pPr>
        <w:pStyle w:val="afffffffff8"/>
      </w:pPr>
      <w:r>
        <w:rPr>
          <w:rFonts w:hint="eastAsia"/>
        </w:rPr>
        <w:t>应记录</w:t>
      </w:r>
      <w:proofErr w:type="gramStart"/>
      <w:r>
        <w:rPr>
          <w:rFonts w:hint="eastAsia"/>
        </w:rPr>
        <w:t>试验全</w:t>
      </w:r>
      <w:proofErr w:type="gramEnd"/>
      <w:r>
        <w:rPr>
          <w:rFonts w:hint="eastAsia"/>
        </w:rPr>
        <w:t>过程的关键参数、原始数据和观察现象。</w:t>
      </w:r>
    </w:p>
    <w:p w14:paraId="7D084ABA" w14:textId="77777777" w:rsidR="0029312F" w:rsidRDefault="00000000">
      <w:pPr>
        <w:pStyle w:val="afffffffff8"/>
      </w:pPr>
      <w:r>
        <w:rPr>
          <w:rFonts w:hint="eastAsia"/>
        </w:rPr>
        <w:t>所有测量设备和仪表须按国家计量标准进行定期检定和校准，确保其不确定度已知并满足试验精度要求。</w:t>
      </w:r>
    </w:p>
    <w:p w14:paraId="4227BB67" w14:textId="77777777" w:rsidR="0029312F" w:rsidRDefault="00000000">
      <w:pPr>
        <w:pStyle w:val="afffffffff8"/>
      </w:pPr>
      <w:r>
        <w:rPr>
          <w:rFonts w:hint="eastAsia"/>
        </w:rPr>
        <w:t>试验数据应真实、准确，任何修改必须有书面记录和合理解释。</w:t>
      </w:r>
    </w:p>
    <w:p w14:paraId="094D45BF" w14:textId="77777777" w:rsidR="0029312F" w:rsidRDefault="00000000">
      <w:pPr>
        <w:pStyle w:val="afff3"/>
        <w:spacing w:before="120" w:after="120"/>
      </w:pPr>
      <w:r>
        <w:rPr>
          <w:rFonts w:hint="eastAsia"/>
        </w:rPr>
        <w:t>力学性能试验</w:t>
      </w:r>
    </w:p>
    <w:p w14:paraId="7479765E" w14:textId="77777777" w:rsidR="0029312F" w:rsidRDefault="00000000">
      <w:pPr>
        <w:pStyle w:val="afff4"/>
        <w:spacing w:before="120" w:after="120"/>
      </w:pPr>
      <w:r>
        <w:rPr>
          <w:rFonts w:hint="eastAsia"/>
        </w:rPr>
        <w:t>设备有效性</w:t>
      </w:r>
    </w:p>
    <w:p w14:paraId="72BEE703" w14:textId="77777777" w:rsidR="0029312F" w:rsidRDefault="00000000">
      <w:pPr>
        <w:pStyle w:val="affffffffffff1"/>
      </w:pPr>
      <w:r>
        <w:rPr>
          <w:rFonts w:hint="eastAsia"/>
        </w:rPr>
        <w:t>各类试验设备及配套加热、冷却、测温、计时、尺寸测量等装置及工器具均应按相关要求经过检定合格，</w:t>
      </w:r>
      <w:proofErr w:type="gramStart"/>
      <w:r>
        <w:rPr>
          <w:rFonts w:hint="eastAsia"/>
        </w:rPr>
        <w:t>且试验</w:t>
      </w:r>
      <w:proofErr w:type="gramEnd"/>
      <w:r>
        <w:rPr>
          <w:rFonts w:hint="eastAsia"/>
        </w:rPr>
        <w:t>日期均在检定有效期内。实施冲击和拉伸试验之前，应至少用3个性能已知的标准试样对试验设备进行有效性和稳定性校验，且结果合格。</w:t>
      </w:r>
    </w:p>
    <w:p w14:paraId="20B14977" w14:textId="77777777" w:rsidR="0029312F" w:rsidRDefault="00000000">
      <w:pPr>
        <w:pStyle w:val="afff4"/>
        <w:spacing w:before="120" w:after="120"/>
      </w:pPr>
      <w:r>
        <w:rPr>
          <w:rFonts w:hint="eastAsia"/>
        </w:rPr>
        <w:t>拉伸试验</w:t>
      </w:r>
    </w:p>
    <w:p w14:paraId="4C5C18F2" w14:textId="77777777" w:rsidR="0029312F" w:rsidRDefault="00000000">
      <w:pPr>
        <w:pStyle w:val="afffffffff7"/>
      </w:pPr>
      <w:r>
        <w:rPr>
          <w:rFonts w:hint="eastAsia"/>
        </w:rPr>
        <w:t>拉伸试验需按照辐照监督大纲要求的标准实施。应根据大纲和标准要求制定试验程序，并严格执行。</w:t>
      </w:r>
    </w:p>
    <w:p w14:paraId="0435D708" w14:textId="77777777" w:rsidR="0029312F" w:rsidRDefault="00000000">
      <w:pPr>
        <w:pStyle w:val="afffffffff7"/>
      </w:pPr>
      <w:r>
        <w:rPr>
          <w:rFonts w:hint="eastAsia"/>
        </w:rPr>
        <w:t>建议每种材料的冷态试样</w:t>
      </w:r>
      <w:proofErr w:type="gramStart"/>
      <w:r>
        <w:rPr>
          <w:rFonts w:hint="eastAsia"/>
        </w:rPr>
        <w:t>与入堆辐照</w:t>
      </w:r>
      <w:proofErr w:type="gramEnd"/>
      <w:r>
        <w:rPr>
          <w:rFonts w:hint="eastAsia"/>
        </w:rPr>
        <w:t>试样的拉伸试验在同一套设备上完成，且与首根辐照监督管拉伸试验的试验时间尽量接近，以减少设备和环境引入的误差。</w:t>
      </w:r>
    </w:p>
    <w:p w14:paraId="2086FC97" w14:textId="77777777" w:rsidR="0029312F" w:rsidRDefault="00000000">
      <w:pPr>
        <w:pStyle w:val="afffffffff7"/>
      </w:pPr>
      <w:r>
        <w:rPr>
          <w:rFonts w:hint="eastAsia"/>
        </w:rPr>
        <w:t>应分别在室温和工作温度下进行拉伸试验，必要时增加中间温度和超出工作温度的试验。</w:t>
      </w:r>
    </w:p>
    <w:p w14:paraId="7594E68C" w14:textId="77777777" w:rsidR="0029312F" w:rsidRDefault="00000000">
      <w:pPr>
        <w:pStyle w:val="afffffffff7"/>
      </w:pPr>
      <w:r>
        <w:rPr>
          <w:rFonts w:hint="eastAsia"/>
        </w:rPr>
        <w:t>试验时，保温时间应不少于30分钟，温度偏差应不超过±1℃。</w:t>
      </w:r>
    </w:p>
    <w:p w14:paraId="6C5D83D0" w14:textId="77777777" w:rsidR="0029312F" w:rsidRDefault="00000000">
      <w:pPr>
        <w:pStyle w:val="afffffffff7"/>
      </w:pPr>
      <w:r>
        <w:rPr>
          <w:rFonts w:hint="eastAsia"/>
        </w:rPr>
        <w:t>拉伸试验应测出完整应力-应变曲线、规定塑性延伸强度、抗拉强度、断后伸长率、均匀伸长率和断面收缩率等。</w:t>
      </w:r>
    </w:p>
    <w:p w14:paraId="5A96C59C" w14:textId="77777777" w:rsidR="0029312F" w:rsidRDefault="00000000">
      <w:pPr>
        <w:pStyle w:val="afff4"/>
        <w:spacing w:before="120" w:after="120"/>
      </w:pPr>
      <w:r>
        <w:rPr>
          <w:rFonts w:hint="eastAsia"/>
        </w:rPr>
        <w:t>冲击试验</w:t>
      </w:r>
    </w:p>
    <w:p w14:paraId="6527E609" w14:textId="77777777" w:rsidR="0029312F" w:rsidRDefault="00000000">
      <w:pPr>
        <w:pStyle w:val="afffffffff7"/>
      </w:pPr>
      <w:r>
        <w:rPr>
          <w:rFonts w:hint="eastAsia"/>
        </w:rPr>
        <w:t>冲击试验需按照辐照监督大纲要求的标准实施。应根据大纲和标准要求制定试验程序，并严格执行。</w:t>
      </w:r>
    </w:p>
    <w:p w14:paraId="46B0C47B" w14:textId="77777777" w:rsidR="0029312F" w:rsidRDefault="00000000">
      <w:pPr>
        <w:pStyle w:val="afffffffff7"/>
      </w:pPr>
      <w:r>
        <w:rPr>
          <w:rFonts w:hint="eastAsia"/>
        </w:rPr>
        <w:lastRenderedPageBreak/>
        <w:t>建议每种材料的冷态试样与辐照试样的冲击试验在同一套设备上完成，且与首根辐照监督管冲击试验的试验时间尽量接近，以减少设备和环境引入的误差。</w:t>
      </w:r>
    </w:p>
    <w:p w14:paraId="066E7B07" w14:textId="77777777" w:rsidR="0029312F" w:rsidRDefault="00000000">
      <w:pPr>
        <w:pStyle w:val="afffffffff7"/>
      </w:pPr>
      <w:r>
        <w:rPr>
          <w:rFonts w:hint="eastAsia"/>
        </w:rPr>
        <w:t>试验前应确认试样尺寸与冲击试验机样品台的匹配程度，确保试样缺口对中误差不超过±0.25mm。</w:t>
      </w:r>
    </w:p>
    <w:p w14:paraId="577274F0" w14:textId="77777777" w:rsidR="0029312F" w:rsidRDefault="00000000">
      <w:pPr>
        <w:pStyle w:val="afffffffff7"/>
      </w:pPr>
      <w:r>
        <w:rPr>
          <w:rFonts w:hint="eastAsia"/>
        </w:rPr>
        <w:t>为获得拟合良好的冲击功-温度曲线，试验温度点应合理分布。宜在转变区加密布点，且用于确定上平台能量的有效温度点不应少于3个。</w:t>
      </w:r>
    </w:p>
    <w:p w14:paraId="5CFCFA45" w14:textId="77777777" w:rsidR="0029312F" w:rsidRDefault="00000000">
      <w:pPr>
        <w:pStyle w:val="afffffffff7"/>
      </w:pPr>
      <w:proofErr w:type="gramStart"/>
      <w:r>
        <w:rPr>
          <w:rFonts w:hint="eastAsia"/>
        </w:rPr>
        <w:t>推荐按</w:t>
      </w:r>
      <w:proofErr w:type="gramEnd"/>
      <w:r>
        <w:rPr>
          <w:rFonts w:hint="eastAsia"/>
        </w:rPr>
        <w:t>以下步骤进行试验温度选择：</w:t>
      </w:r>
    </w:p>
    <w:p w14:paraId="701A1629" w14:textId="77777777" w:rsidR="0029312F" w:rsidRDefault="00000000">
      <w:pPr>
        <w:pStyle w:val="af8"/>
      </w:pPr>
      <w:r>
        <w:rPr>
          <w:rFonts w:hint="eastAsia"/>
        </w:rPr>
        <w:t>利用未辐照冲击试验或者历史辐照冲击试验数据，推测上下平台能量对应的试验温度；</w:t>
      </w:r>
    </w:p>
    <w:p w14:paraId="33D10EB8" w14:textId="77777777" w:rsidR="0029312F" w:rsidRDefault="00000000">
      <w:pPr>
        <w:pStyle w:val="af8"/>
      </w:pPr>
      <w:r>
        <w:rPr>
          <w:rFonts w:hint="eastAsia"/>
        </w:rPr>
        <w:t>在选定的试验温度范围内，先以较大的温度间隔（20-30℃）选择3-4个温度点各完成一次冲击试验；</w:t>
      </w:r>
    </w:p>
    <w:p w14:paraId="762E6B01" w14:textId="77777777" w:rsidR="0029312F" w:rsidRDefault="00000000">
      <w:pPr>
        <w:pStyle w:val="af8"/>
      </w:pPr>
      <w:r>
        <w:rPr>
          <w:rFonts w:hint="eastAsia"/>
        </w:rPr>
        <w:t>结合冲击功、断口形貌和数据拟合结果，判断所选取温度点在冲击功-温度曲线上的位置；</w:t>
      </w:r>
    </w:p>
    <w:p w14:paraId="6DCBEE1C" w14:textId="77777777" w:rsidR="0029312F" w:rsidRDefault="00000000">
      <w:pPr>
        <w:pStyle w:val="af8"/>
      </w:pPr>
      <w:r>
        <w:rPr>
          <w:rFonts w:hint="eastAsia"/>
        </w:rPr>
        <w:t>再选取4-5个试样，在上平台和转变区补充试验数据；</w:t>
      </w:r>
    </w:p>
    <w:p w14:paraId="437AA5FA" w14:textId="77777777" w:rsidR="0029312F" w:rsidRDefault="00000000">
      <w:pPr>
        <w:pStyle w:val="af8"/>
      </w:pPr>
      <w:r>
        <w:rPr>
          <w:rFonts w:hint="eastAsia"/>
        </w:rPr>
        <w:t>对上述试验结果进行拟合，利用剩余试样补充关键位置（如冲击功为41J时）数据，提高拟合结果准确性。</w:t>
      </w:r>
    </w:p>
    <w:p w14:paraId="533E40C2" w14:textId="77777777" w:rsidR="0029312F" w:rsidRDefault="00000000">
      <w:pPr>
        <w:pStyle w:val="afffffffff7"/>
      </w:pPr>
      <w:r>
        <w:rPr>
          <w:rFonts w:hint="eastAsia"/>
        </w:rPr>
        <w:t>试验时，保温时间应不少于30分钟，温度偏差应不超过±1℃。</w:t>
      </w:r>
    </w:p>
    <w:p w14:paraId="1647439F" w14:textId="77777777" w:rsidR="0029312F" w:rsidRDefault="00000000">
      <w:pPr>
        <w:pStyle w:val="afffffffff7"/>
      </w:pPr>
      <w:r>
        <w:rPr>
          <w:rFonts w:hint="eastAsia"/>
        </w:rPr>
        <w:t>如果需要，可采用经过验证的小试样测试技术或试样重构技术对</w:t>
      </w:r>
      <w:proofErr w:type="gramStart"/>
      <w:r>
        <w:rPr>
          <w:rFonts w:hint="eastAsia"/>
        </w:rPr>
        <w:t>冲击残样进行</w:t>
      </w:r>
      <w:proofErr w:type="gramEnd"/>
      <w:r>
        <w:rPr>
          <w:rFonts w:hint="eastAsia"/>
        </w:rPr>
        <w:t>二次利用，补充试验数据。</w:t>
      </w:r>
    </w:p>
    <w:p w14:paraId="46F9E8E1" w14:textId="77777777" w:rsidR="0029312F" w:rsidRDefault="00000000">
      <w:pPr>
        <w:pStyle w:val="afffffffff7"/>
      </w:pPr>
      <w:r>
        <w:rPr>
          <w:rFonts w:hint="eastAsia"/>
        </w:rPr>
        <w:t>由最终拟合的冲击功-温度曲线与侧膨胀-温度曲线，应至少确定冲击功为41J、56J、68J时所对应的标示温度，以及侧膨胀值为0.9mm时所对应的标示温度，并给出上平台能量值。</w:t>
      </w:r>
    </w:p>
    <w:p w14:paraId="7C67C977" w14:textId="77777777" w:rsidR="0029312F" w:rsidRDefault="00000000">
      <w:pPr>
        <w:pStyle w:val="afff4"/>
        <w:spacing w:before="120" w:after="120"/>
      </w:pPr>
      <w:r>
        <w:rPr>
          <w:rFonts w:hint="eastAsia"/>
        </w:rPr>
        <w:t>断裂韧性试验</w:t>
      </w:r>
    </w:p>
    <w:p w14:paraId="34A8D03E" w14:textId="77777777" w:rsidR="0029312F" w:rsidRDefault="00000000">
      <w:pPr>
        <w:pStyle w:val="afffffffff7"/>
      </w:pPr>
      <w:r>
        <w:rPr>
          <w:rFonts w:hint="eastAsia"/>
        </w:rPr>
        <w:t>由核电营运单位根据监管要求和机组运行期间反应堆压力容器安全评价的需要决定断裂韧性试验开展的时间和内容。</w:t>
      </w:r>
    </w:p>
    <w:p w14:paraId="4B49B7A9" w14:textId="77777777" w:rsidR="0029312F" w:rsidRDefault="00000000">
      <w:pPr>
        <w:pStyle w:val="afffffffff7"/>
      </w:pPr>
      <w:r>
        <w:rPr>
          <w:rFonts w:hint="eastAsia"/>
        </w:rPr>
        <w:t>断裂韧性试验需按照辐照监督大纲要求的标准实施。应根据辐照监督大纲和标准要求制定断裂韧性试验程序，并严格执行。</w:t>
      </w:r>
    </w:p>
    <w:p w14:paraId="66179FC4" w14:textId="77777777" w:rsidR="0029312F" w:rsidRDefault="00000000">
      <w:pPr>
        <w:pStyle w:val="afffffffff7"/>
      </w:pPr>
      <w:r>
        <w:rPr>
          <w:rFonts w:hint="eastAsia"/>
        </w:rPr>
        <w:t>建议每种材料的冷态试样与辐照试样的断裂韧性试验在同一套设备上完成，且与首次辐照试样断裂韧性试验的试验时间尽量接近，以减少设备和环境引入的误差。</w:t>
      </w:r>
    </w:p>
    <w:p w14:paraId="33590615" w14:textId="77777777" w:rsidR="0029312F" w:rsidRDefault="00000000">
      <w:pPr>
        <w:pStyle w:val="afffffffff7"/>
      </w:pPr>
      <w:r>
        <w:rPr>
          <w:rFonts w:hint="eastAsia"/>
        </w:rPr>
        <w:t>断裂韧性试样在疲劳裂纹预制完成后，应尽快完成测试，避免裂纹尖端发生钝化。</w:t>
      </w:r>
    </w:p>
    <w:p w14:paraId="794B3256" w14:textId="77777777" w:rsidR="0029312F" w:rsidRDefault="00000000">
      <w:pPr>
        <w:pStyle w:val="afffffffff7"/>
      </w:pPr>
      <w:r>
        <w:rPr>
          <w:rFonts w:hint="eastAsia"/>
        </w:rPr>
        <w:t>试验时，保温时间应不少于30分钟，温度偏差应不超过±1℃。</w:t>
      </w:r>
    </w:p>
    <w:p w14:paraId="54D6FDDC" w14:textId="77777777" w:rsidR="0029312F" w:rsidRDefault="00000000">
      <w:pPr>
        <w:pStyle w:val="afffffffff7"/>
      </w:pPr>
      <w:r>
        <w:rPr>
          <w:rFonts w:hint="eastAsia"/>
        </w:rPr>
        <w:t>为了得到更多有效的断裂韧性数据，可采用经过验证的小试样测试技术或试样重构技术对</w:t>
      </w:r>
      <w:proofErr w:type="gramStart"/>
      <w:r>
        <w:rPr>
          <w:rFonts w:hint="eastAsia"/>
        </w:rPr>
        <w:t>冲击残样或断裂韧性残样进行</w:t>
      </w:r>
      <w:proofErr w:type="gramEnd"/>
      <w:r>
        <w:rPr>
          <w:rFonts w:hint="eastAsia"/>
        </w:rPr>
        <w:t>二次利用。</w:t>
      </w:r>
    </w:p>
    <w:p w14:paraId="56D5BB0F" w14:textId="77777777" w:rsidR="0029312F" w:rsidRDefault="00000000">
      <w:pPr>
        <w:pStyle w:val="afffffffff7"/>
      </w:pPr>
      <w:r>
        <w:rPr>
          <w:rFonts w:hint="eastAsia"/>
        </w:rPr>
        <w:t>对于不同尺寸断裂韧性试样获得的试验数据，应进行尺寸效应修正。</w:t>
      </w:r>
    </w:p>
    <w:p w14:paraId="60761BFE" w14:textId="77777777" w:rsidR="0029312F" w:rsidRDefault="00000000">
      <w:pPr>
        <w:pStyle w:val="afff3"/>
        <w:spacing w:before="120" w:after="120"/>
      </w:pPr>
      <w:r>
        <w:rPr>
          <w:rFonts w:hint="eastAsia"/>
        </w:rPr>
        <w:t>中子剂量探测器测量</w:t>
      </w:r>
    </w:p>
    <w:p w14:paraId="2E1CCE8B" w14:textId="77777777" w:rsidR="0029312F" w:rsidRDefault="00000000">
      <w:pPr>
        <w:pStyle w:val="afffffffff8"/>
      </w:pPr>
      <w:r>
        <w:rPr>
          <w:rFonts w:hint="eastAsia"/>
        </w:rPr>
        <w:t>应完整记录活度测量设备的类型、型号、能量范围、分辨率、设备标定情况（包括能量标定、效率标定及所用标准源）等，特别注意对低能射线测量效率的准确标定。</w:t>
      </w:r>
    </w:p>
    <w:p w14:paraId="222C7A39" w14:textId="77777777" w:rsidR="0029312F" w:rsidRDefault="00000000">
      <w:pPr>
        <w:pStyle w:val="afffffffff8"/>
      </w:pPr>
      <w:r>
        <w:rPr>
          <w:rFonts w:hint="eastAsia"/>
        </w:rPr>
        <w:t>应采用量程和精度合适的高精度天平进行中子探测器质量测量，天平应检定合格并在有效期内使用。</w:t>
      </w:r>
    </w:p>
    <w:p w14:paraId="1F599A60" w14:textId="77777777" w:rsidR="0029312F" w:rsidRDefault="00000000">
      <w:pPr>
        <w:pStyle w:val="afffffffff8"/>
      </w:pPr>
      <w:r>
        <w:rPr>
          <w:rFonts w:hint="eastAsia"/>
        </w:rPr>
        <w:t>测量</w:t>
      </w:r>
      <w:proofErr w:type="gramStart"/>
      <w:r>
        <w:rPr>
          <w:rFonts w:hint="eastAsia"/>
        </w:rPr>
        <w:t>铌</w:t>
      </w:r>
      <w:proofErr w:type="gramEnd"/>
      <w:r>
        <w:rPr>
          <w:rFonts w:hint="eastAsia"/>
        </w:rPr>
        <w:t>探测器活度时，应定量分析以下因素的影响：</w:t>
      </w:r>
    </w:p>
    <w:p w14:paraId="4B841B28" w14:textId="77777777" w:rsidR="0029312F" w:rsidRDefault="00000000">
      <w:pPr>
        <w:pStyle w:val="af8"/>
      </w:pPr>
      <w:r>
        <w:rPr>
          <w:rFonts w:hint="eastAsia"/>
        </w:rPr>
        <w:t>杂质射线的影响，特别是</w:t>
      </w:r>
      <w:proofErr w:type="gramStart"/>
      <w:r>
        <w:rPr>
          <w:rFonts w:hint="eastAsia"/>
        </w:rPr>
        <w:t>杂质钽被活化</w:t>
      </w:r>
      <w:proofErr w:type="gramEnd"/>
      <w:r>
        <w:rPr>
          <w:rFonts w:hint="eastAsia"/>
        </w:rPr>
        <w:t>后产生的γ和X射线，</w:t>
      </w:r>
      <w:proofErr w:type="gramStart"/>
      <w:r>
        <w:rPr>
          <w:rFonts w:hint="eastAsia"/>
        </w:rPr>
        <w:t>以及铌被活化</w:t>
      </w:r>
      <w:proofErr w:type="gramEnd"/>
      <w:r>
        <w:rPr>
          <w:rFonts w:hint="eastAsia"/>
        </w:rPr>
        <w:t>产生的其它射线（如Nb-94）的影响；</w:t>
      </w:r>
    </w:p>
    <w:p w14:paraId="2612B5E9" w14:textId="77777777" w:rsidR="0029312F" w:rsidRDefault="00000000">
      <w:pPr>
        <w:pStyle w:val="af8"/>
      </w:pPr>
      <w:r>
        <w:rPr>
          <w:rFonts w:hint="eastAsia"/>
        </w:rPr>
        <w:t>样品厚度的影响。若采用固体样品直接测量活度，应定量分析样品的自吸收修正系数对结果的影响；对于特别薄的样品，应充分考虑厚度加工偏差对自吸收修正系数的影响；</w:t>
      </w:r>
    </w:p>
    <w:p w14:paraId="36D96018" w14:textId="77777777" w:rsidR="0029312F" w:rsidRDefault="00000000">
      <w:pPr>
        <w:pStyle w:val="af8"/>
      </w:pPr>
      <w:r>
        <w:rPr>
          <w:rFonts w:hint="eastAsia"/>
        </w:rPr>
        <w:t>测量设备分辨率的影响。若设备无法有效分辨</w:t>
      </w:r>
      <w:proofErr w:type="gramStart"/>
      <w:r>
        <w:rPr>
          <w:rFonts w:hint="eastAsia"/>
        </w:rPr>
        <w:t>铌</w:t>
      </w:r>
      <w:proofErr w:type="gramEnd"/>
      <w:r>
        <w:rPr>
          <w:rFonts w:hint="eastAsia"/>
        </w:rPr>
        <w:t>探测器的两条射线，应采用</w:t>
      </w:r>
      <w:proofErr w:type="gramStart"/>
      <w:r>
        <w:rPr>
          <w:rFonts w:hint="eastAsia"/>
        </w:rPr>
        <w:t>双峰解谱等</w:t>
      </w:r>
      <w:proofErr w:type="gramEnd"/>
      <w:r>
        <w:rPr>
          <w:rFonts w:hint="eastAsia"/>
        </w:rPr>
        <w:t>方法定量消除峰间相互影响。</w:t>
      </w:r>
    </w:p>
    <w:p w14:paraId="4C485840" w14:textId="77777777" w:rsidR="0029312F" w:rsidRDefault="00000000">
      <w:pPr>
        <w:pStyle w:val="afffffffff8"/>
      </w:pPr>
      <w:r>
        <w:rPr>
          <w:rFonts w:hint="eastAsia"/>
        </w:rPr>
        <w:t>对于合金中子剂量探测器（如钴-铝合金），宜对其有效化学成分进行复核，并与设计规格</w:t>
      </w:r>
      <w:proofErr w:type="gramStart"/>
      <w:r>
        <w:rPr>
          <w:rFonts w:hint="eastAsia"/>
        </w:rPr>
        <w:t>书指标</w:t>
      </w:r>
      <w:proofErr w:type="gramEnd"/>
      <w:r>
        <w:rPr>
          <w:rFonts w:hint="eastAsia"/>
        </w:rPr>
        <w:t>对比。</w:t>
      </w:r>
    </w:p>
    <w:p w14:paraId="0E6E7FCC" w14:textId="77777777" w:rsidR="0029312F" w:rsidRDefault="00000000">
      <w:pPr>
        <w:pStyle w:val="afffffffff8"/>
      </w:pPr>
      <w:r>
        <w:rPr>
          <w:rFonts w:hint="eastAsia"/>
        </w:rPr>
        <w:t>对于已脆化的中子剂量探测器，应谨慎操作，以防止引入杂质导致样品污染或质量测量偏差。</w:t>
      </w:r>
    </w:p>
    <w:p w14:paraId="402961D8" w14:textId="77777777" w:rsidR="0029312F" w:rsidRDefault="00000000">
      <w:pPr>
        <w:pStyle w:val="afff3"/>
        <w:spacing w:before="120" w:after="120"/>
      </w:pPr>
      <w:r>
        <w:rPr>
          <w:rFonts w:hint="eastAsia"/>
        </w:rPr>
        <w:t>温度监测器检查</w:t>
      </w:r>
    </w:p>
    <w:p w14:paraId="0E9B5FCF" w14:textId="77777777" w:rsidR="0029312F" w:rsidRDefault="00000000">
      <w:pPr>
        <w:pStyle w:val="afffffffff8"/>
      </w:pPr>
      <w:r>
        <w:rPr>
          <w:rFonts w:hint="eastAsia"/>
        </w:rPr>
        <w:lastRenderedPageBreak/>
        <w:t>应拍照记录各个温度监测器的状态，特别是对于熔化的温度监测器，照片应清晰显示熔化状态。</w:t>
      </w:r>
    </w:p>
    <w:p w14:paraId="79B72E7C" w14:textId="77777777" w:rsidR="0029312F" w:rsidRDefault="00000000">
      <w:pPr>
        <w:pStyle w:val="afffffffff8"/>
      </w:pPr>
      <w:r>
        <w:rPr>
          <w:rFonts w:hint="eastAsia"/>
        </w:rPr>
        <w:t>当目视检查无法有效判定熔化状态时，可采用射线检测或金相分析。仅在需要进一步验证熔化温度时，方可实施破坏性检查。</w:t>
      </w:r>
    </w:p>
    <w:p w14:paraId="037F4449" w14:textId="77777777" w:rsidR="0029312F" w:rsidRDefault="00000000">
      <w:pPr>
        <w:pStyle w:val="afff2"/>
        <w:spacing w:before="240" w:after="240"/>
      </w:pPr>
      <w:bookmarkStart w:id="109" w:name="_Toc216792896"/>
      <w:bookmarkStart w:id="110" w:name="_Toc216792873"/>
      <w:r>
        <w:rPr>
          <w:rFonts w:hint="eastAsia"/>
        </w:rPr>
        <w:t>中子学参数计算和分析</w:t>
      </w:r>
      <w:bookmarkEnd w:id="109"/>
      <w:bookmarkEnd w:id="110"/>
    </w:p>
    <w:p w14:paraId="446B5419" w14:textId="77777777" w:rsidR="0029312F" w:rsidRDefault="00000000">
      <w:pPr>
        <w:pStyle w:val="afff3"/>
        <w:spacing w:before="120" w:after="120"/>
      </w:pPr>
      <w:bookmarkStart w:id="111" w:name="_Toc216792874"/>
      <w:r>
        <w:rPr>
          <w:rFonts w:hint="eastAsia"/>
        </w:rPr>
        <w:t>中子学参数计算</w:t>
      </w:r>
      <w:bookmarkEnd w:id="111"/>
    </w:p>
    <w:p w14:paraId="64862A08" w14:textId="77777777" w:rsidR="0029312F" w:rsidRDefault="00000000">
      <w:pPr>
        <w:pStyle w:val="afffffffff8"/>
      </w:pPr>
      <w:r>
        <w:rPr>
          <w:rFonts w:hint="eastAsia"/>
        </w:rPr>
        <w:t>可采用确定论或随机论方法完成反应堆中子学参数计算。</w:t>
      </w:r>
    </w:p>
    <w:p w14:paraId="0A0764C7" w14:textId="77777777" w:rsidR="0029312F" w:rsidRDefault="00000000">
      <w:pPr>
        <w:pStyle w:val="afffffffff8"/>
      </w:pPr>
      <w:r>
        <w:rPr>
          <w:rFonts w:hint="eastAsia"/>
        </w:rPr>
        <w:t>应至少建立从反应堆堆芯中心轴线至反应堆压力容器外壁的模型，完成全部模型范围内中子注量分布计算。</w:t>
      </w:r>
    </w:p>
    <w:p w14:paraId="58B1E109" w14:textId="77777777" w:rsidR="0029312F" w:rsidRDefault="00000000">
      <w:pPr>
        <w:pStyle w:val="afffffffff8"/>
      </w:pPr>
      <w:r>
        <w:rPr>
          <w:rFonts w:hint="eastAsia"/>
        </w:rPr>
        <w:t>所建立几何模型应足够详细，至少应包括反应堆堆芯、围板、肋板、冷却剂、吊篮、热屏、辐照监督管（模型中应可分辨辐照监督管支架、包壳、试样等区域）、压力容器（堆焊层和基体应分开）等重要部件和组成部分。</w:t>
      </w:r>
    </w:p>
    <w:p w14:paraId="3B12FFB2" w14:textId="77777777" w:rsidR="0029312F" w:rsidRDefault="00000000">
      <w:pPr>
        <w:pStyle w:val="afffffffff8"/>
      </w:pPr>
      <w:r>
        <w:rPr>
          <w:rFonts w:hint="eastAsia"/>
        </w:rPr>
        <w:t>计算时应详细考虑以上几何模型内各组成部分的材料及其化学成分，包括冷却剂温度及其分布对冷却剂密度的影响。</w:t>
      </w:r>
    </w:p>
    <w:p w14:paraId="62E818F1" w14:textId="77777777" w:rsidR="0029312F" w:rsidRDefault="00000000">
      <w:pPr>
        <w:pStyle w:val="afffffffff8"/>
      </w:pPr>
      <w:r>
        <w:rPr>
          <w:rFonts w:hint="eastAsia"/>
        </w:rPr>
        <w:t>对于</w:t>
      </w:r>
      <w:proofErr w:type="gramStart"/>
      <w:r>
        <w:rPr>
          <w:rFonts w:hint="eastAsia"/>
        </w:rPr>
        <w:t>固定源项</w:t>
      </w:r>
      <w:proofErr w:type="gramEnd"/>
      <w:r>
        <w:rPr>
          <w:rFonts w:hint="eastAsia"/>
        </w:rPr>
        <w:t>的计算，应详细考虑机组运行的功率历史以及功率、中子能谱、燃料燃耗等参数的空间分布，同时应考虑燃料燃耗对裂变</w:t>
      </w:r>
      <w:proofErr w:type="gramStart"/>
      <w:r>
        <w:rPr>
          <w:rFonts w:hint="eastAsia"/>
        </w:rPr>
        <w:t>核素占</w:t>
      </w:r>
      <w:proofErr w:type="gramEnd"/>
      <w:r>
        <w:rPr>
          <w:rFonts w:hint="eastAsia"/>
        </w:rPr>
        <w:t>比的影响以及</w:t>
      </w:r>
      <w:proofErr w:type="gramStart"/>
      <w:r>
        <w:rPr>
          <w:rFonts w:hint="eastAsia"/>
        </w:rPr>
        <w:t>核素占</w:t>
      </w:r>
      <w:proofErr w:type="gramEnd"/>
      <w:r>
        <w:rPr>
          <w:rFonts w:hint="eastAsia"/>
        </w:rPr>
        <w:t>比变化对裂变中子能谱、裂变发热、裂变中子数的影响。</w:t>
      </w:r>
    </w:p>
    <w:p w14:paraId="7D11C81D" w14:textId="77777777" w:rsidR="0029312F" w:rsidRDefault="00000000">
      <w:pPr>
        <w:pStyle w:val="afffffffff8"/>
      </w:pPr>
      <w:r>
        <w:rPr>
          <w:rFonts w:hint="eastAsia"/>
        </w:rPr>
        <w:t>应从中子学参数计算结果中获得以下数据：</w:t>
      </w:r>
    </w:p>
    <w:p w14:paraId="2E36F653" w14:textId="77777777" w:rsidR="0029312F" w:rsidRDefault="00000000">
      <w:pPr>
        <w:pStyle w:val="af8"/>
      </w:pPr>
      <w:r>
        <w:rPr>
          <w:rFonts w:hint="eastAsia"/>
        </w:rPr>
        <w:t>辐照监督管中心快中子注量轴向分布；</w:t>
      </w:r>
    </w:p>
    <w:p w14:paraId="0D949650" w14:textId="77777777" w:rsidR="0029312F" w:rsidRDefault="00000000">
      <w:pPr>
        <w:pStyle w:val="af8"/>
      </w:pPr>
      <w:r>
        <w:rPr>
          <w:rFonts w:hint="eastAsia"/>
        </w:rPr>
        <w:t>反应堆压力容器基体内表面、1/4壁厚、1/2壁厚、3/4壁厚、外表面、焊缝等位置总中子注量、能量大于1MeV或其它要求的快中子注量、铁原子移位率的分布及其最大值；</w:t>
      </w:r>
    </w:p>
    <w:p w14:paraId="18572B78" w14:textId="77777777" w:rsidR="0029312F" w:rsidRDefault="00000000">
      <w:pPr>
        <w:pStyle w:val="af8"/>
      </w:pPr>
      <w:r>
        <w:rPr>
          <w:rFonts w:hint="eastAsia"/>
        </w:rPr>
        <w:t>辐照监督管超前因子沿轴向的分布；</w:t>
      </w:r>
    </w:p>
    <w:p w14:paraId="632B5B1B" w14:textId="77777777" w:rsidR="0029312F" w:rsidRDefault="00000000">
      <w:pPr>
        <w:pStyle w:val="af8"/>
      </w:pPr>
      <w:r>
        <w:rPr>
          <w:rFonts w:hint="eastAsia"/>
        </w:rPr>
        <w:t>中子剂量探测器位置中子注量率及中子能谱；</w:t>
      </w:r>
    </w:p>
    <w:p w14:paraId="115303B6" w14:textId="77777777" w:rsidR="0029312F" w:rsidRDefault="00000000">
      <w:pPr>
        <w:pStyle w:val="af8"/>
      </w:pPr>
      <w:r>
        <w:rPr>
          <w:rFonts w:hint="eastAsia"/>
        </w:rPr>
        <w:t>快中子注量从堆芯中心轴线至几何模型外表面的径向分布。</w:t>
      </w:r>
    </w:p>
    <w:p w14:paraId="38C21BFC" w14:textId="77777777" w:rsidR="0029312F" w:rsidRDefault="00000000">
      <w:pPr>
        <w:pStyle w:val="afff3"/>
        <w:spacing w:before="120" w:after="120"/>
      </w:pPr>
      <w:bookmarkStart w:id="112" w:name="_Toc216792875"/>
      <w:r>
        <w:rPr>
          <w:rFonts w:hint="eastAsia"/>
        </w:rPr>
        <w:t>中子学参数分析</w:t>
      </w:r>
      <w:bookmarkEnd w:id="112"/>
    </w:p>
    <w:p w14:paraId="09B8553D" w14:textId="77777777" w:rsidR="0029312F" w:rsidRDefault="00000000">
      <w:pPr>
        <w:pStyle w:val="afffffffff8"/>
      </w:pPr>
      <w:r>
        <w:rPr>
          <w:rFonts w:hint="eastAsia"/>
        </w:rPr>
        <w:t>应详细分析反应堆中子注量分布计算的影响因素，定量分析中子注量分布计算结果不确定度，这些因素包括：</w:t>
      </w:r>
    </w:p>
    <w:p w14:paraId="7FAAAB98" w14:textId="77777777" w:rsidR="0029312F" w:rsidRDefault="00000000">
      <w:pPr>
        <w:pStyle w:val="af8"/>
      </w:pPr>
      <w:r>
        <w:rPr>
          <w:rFonts w:hint="eastAsia"/>
        </w:rPr>
        <w:t>输运计算所用到的以及辐照监督管内中子探测器的截面数据；</w:t>
      </w:r>
    </w:p>
    <w:p w14:paraId="5185ED63" w14:textId="77777777" w:rsidR="0029312F" w:rsidRDefault="00000000">
      <w:pPr>
        <w:pStyle w:val="af8"/>
      </w:pPr>
      <w:r>
        <w:rPr>
          <w:rFonts w:hint="eastAsia"/>
        </w:rPr>
        <w:t>模型范围内各部件的结构尺寸的加工误差及空间位置的安装偏差；</w:t>
      </w:r>
    </w:p>
    <w:p w14:paraId="19F0E2E2" w14:textId="77777777" w:rsidR="0029312F" w:rsidRDefault="00000000">
      <w:pPr>
        <w:pStyle w:val="af8"/>
      </w:pPr>
      <w:r>
        <w:rPr>
          <w:rFonts w:hint="eastAsia"/>
        </w:rPr>
        <w:t>模型中各部件及组成部分的材料成分，包括冷却剂温度分布及对其密度的影响；</w:t>
      </w:r>
    </w:p>
    <w:p w14:paraId="493CAB81" w14:textId="77777777" w:rsidR="0029312F" w:rsidRDefault="00000000">
      <w:pPr>
        <w:pStyle w:val="af8"/>
      </w:pPr>
      <w:r>
        <w:rPr>
          <w:rFonts w:hint="eastAsia"/>
        </w:rPr>
        <w:t>中子源项及中子能谱空间分布的不确定度；</w:t>
      </w:r>
    </w:p>
    <w:p w14:paraId="378C3E91" w14:textId="77777777" w:rsidR="0029312F" w:rsidRDefault="00000000">
      <w:pPr>
        <w:pStyle w:val="af8"/>
      </w:pPr>
      <w:r>
        <w:rPr>
          <w:rFonts w:hint="eastAsia"/>
        </w:rPr>
        <w:t xml:space="preserve">输运计算方法中的近似处理，如确定论计算时的网格大小、角度离散、宏观截面处理等过程中引入的偏差。 </w:t>
      </w:r>
    </w:p>
    <w:p w14:paraId="1A491E30" w14:textId="77777777" w:rsidR="0029312F" w:rsidRDefault="00000000">
      <w:pPr>
        <w:pStyle w:val="afffffffff8"/>
      </w:pPr>
      <w:r>
        <w:rPr>
          <w:rFonts w:hint="eastAsia"/>
        </w:rPr>
        <w:t>应采用基准算例检验中子学参数计算方法的有效性、计算过程中所采用计算程序和数据库的适用性以及计算结果的不确定度。</w:t>
      </w:r>
    </w:p>
    <w:p w14:paraId="0217E54B" w14:textId="77777777" w:rsidR="0029312F" w:rsidRDefault="00000000">
      <w:pPr>
        <w:pStyle w:val="afffffffff8"/>
      </w:pPr>
      <w:r>
        <w:rPr>
          <w:rFonts w:hint="eastAsia"/>
        </w:rPr>
        <w:t>反应堆压力容器内表面能量大于1</w:t>
      </w:r>
      <w:r>
        <w:t xml:space="preserve"> </w:t>
      </w:r>
      <w:r>
        <w:rPr>
          <w:rFonts w:hint="eastAsia"/>
        </w:rPr>
        <w:t>MeV的快中子注量计算结果的不确定度应不高于20%。</w:t>
      </w:r>
    </w:p>
    <w:p w14:paraId="69C41728" w14:textId="77777777" w:rsidR="0029312F" w:rsidRDefault="00000000">
      <w:pPr>
        <w:pStyle w:val="afff2"/>
        <w:spacing w:before="240" w:after="240"/>
      </w:pPr>
      <w:bookmarkStart w:id="113" w:name="_Toc216792897"/>
      <w:bookmarkStart w:id="114" w:name="_Toc216792876"/>
      <w:r>
        <w:rPr>
          <w:rFonts w:hint="eastAsia"/>
        </w:rPr>
        <w:t>辐照监督结果分析</w:t>
      </w:r>
      <w:bookmarkEnd w:id="113"/>
      <w:bookmarkEnd w:id="114"/>
    </w:p>
    <w:p w14:paraId="22B93A1E" w14:textId="77777777" w:rsidR="0029312F" w:rsidRDefault="00000000">
      <w:pPr>
        <w:pStyle w:val="afff3"/>
        <w:spacing w:before="120" w:after="120"/>
      </w:pPr>
      <w:bookmarkStart w:id="115" w:name="_Toc216792877"/>
      <w:r>
        <w:rPr>
          <w:rFonts w:hint="eastAsia"/>
        </w:rPr>
        <w:t>中子剂量探测器测量结果分析</w:t>
      </w:r>
      <w:bookmarkEnd w:id="115"/>
    </w:p>
    <w:p w14:paraId="36F7608C" w14:textId="77777777" w:rsidR="0029312F" w:rsidRDefault="00000000">
      <w:pPr>
        <w:pStyle w:val="afffffffff8"/>
      </w:pPr>
      <w:r>
        <w:rPr>
          <w:rFonts w:hint="eastAsia"/>
        </w:rPr>
        <w:t>应依据辐照监督大纲要求的法规和标准完成中子剂量探测器测量结果分析。</w:t>
      </w:r>
    </w:p>
    <w:p w14:paraId="4B3FB7EC" w14:textId="77777777" w:rsidR="0029312F" w:rsidRDefault="00000000">
      <w:pPr>
        <w:pStyle w:val="afffffffff8"/>
      </w:pPr>
      <w:bookmarkStart w:id="116" w:name="_Toc216792878"/>
      <w:r>
        <w:rPr>
          <w:rFonts w:hint="eastAsia"/>
        </w:rPr>
        <w:t>通过中子探测器测量结果分析对反应堆压力容器辐照损伤评价所需的中子学参数进行可靠性评价。</w:t>
      </w:r>
    </w:p>
    <w:p w14:paraId="667FA323" w14:textId="77777777" w:rsidR="0029312F" w:rsidRDefault="00000000">
      <w:pPr>
        <w:pStyle w:val="afffffffff8"/>
      </w:pPr>
      <w:r>
        <w:rPr>
          <w:rFonts w:hint="eastAsia"/>
        </w:rPr>
        <w:t>中子探测片测量结果与理论计算结果的偏差应在理论计算结果的不确定度范围内。</w:t>
      </w:r>
    </w:p>
    <w:p w14:paraId="49A25DB7" w14:textId="77777777" w:rsidR="0029312F" w:rsidRDefault="00000000">
      <w:pPr>
        <w:pStyle w:val="afff3"/>
        <w:spacing w:before="120" w:after="120"/>
      </w:pPr>
      <w:r>
        <w:rPr>
          <w:rFonts w:hint="eastAsia"/>
        </w:rPr>
        <w:t>温度监测器检查结果分析</w:t>
      </w:r>
      <w:bookmarkEnd w:id="116"/>
    </w:p>
    <w:p w14:paraId="74F213D0" w14:textId="77777777" w:rsidR="0029312F" w:rsidRDefault="00000000">
      <w:pPr>
        <w:pStyle w:val="afffffffff8"/>
      </w:pPr>
      <w:r>
        <w:rPr>
          <w:rFonts w:hint="eastAsia"/>
        </w:rPr>
        <w:t>应依据辐照监督大纲要求的法规和标准完成温度监测器检查结果分析。</w:t>
      </w:r>
    </w:p>
    <w:p w14:paraId="05EF06B5" w14:textId="77777777" w:rsidR="0029312F" w:rsidRDefault="00000000">
      <w:pPr>
        <w:pStyle w:val="afffffffff8"/>
      </w:pPr>
      <w:r>
        <w:rPr>
          <w:rFonts w:hint="eastAsia"/>
        </w:rPr>
        <w:lastRenderedPageBreak/>
        <w:t>通过温度监测器检查结果分析应得到以下结果：</w:t>
      </w:r>
    </w:p>
    <w:p w14:paraId="3DE0EFD9" w14:textId="77777777" w:rsidR="0029312F" w:rsidRDefault="00000000">
      <w:pPr>
        <w:pStyle w:val="af8"/>
      </w:pPr>
      <w:r>
        <w:rPr>
          <w:rFonts w:hint="eastAsia"/>
        </w:rPr>
        <w:t>辐照监督管所经历的温度范围；</w:t>
      </w:r>
    </w:p>
    <w:p w14:paraId="795E241B" w14:textId="77777777" w:rsidR="0029312F" w:rsidRDefault="00000000">
      <w:pPr>
        <w:pStyle w:val="af8"/>
      </w:pPr>
      <w:r>
        <w:rPr>
          <w:rFonts w:hint="eastAsia"/>
        </w:rPr>
        <w:t>基于机组运行历史数据及温度监测器监测结果得到的反应堆压力容器所经历温度。</w:t>
      </w:r>
    </w:p>
    <w:p w14:paraId="2B9C1C91" w14:textId="77777777" w:rsidR="0029312F" w:rsidRDefault="00000000">
      <w:pPr>
        <w:pStyle w:val="afff3"/>
        <w:spacing w:before="120" w:after="120"/>
      </w:pPr>
      <w:bookmarkStart w:id="117" w:name="_Toc216792879"/>
      <w:r>
        <w:rPr>
          <w:rFonts w:hint="eastAsia"/>
        </w:rPr>
        <w:t>力学性能试验结果分析</w:t>
      </w:r>
      <w:bookmarkEnd w:id="117"/>
    </w:p>
    <w:p w14:paraId="1F00AACA" w14:textId="77777777" w:rsidR="0029312F" w:rsidRDefault="00000000">
      <w:pPr>
        <w:pStyle w:val="afffffffff8"/>
      </w:pPr>
      <w:r>
        <w:rPr>
          <w:rFonts w:hint="eastAsia"/>
        </w:rPr>
        <w:t>应依据辐照监督大纲要求的法规和标准完成辐照监督管内力学性能监督试样试验结果分析，获得反应堆压力容器材料辐照损伤状态的准确数据。</w:t>
      </w:r>
    </w:p>
    <w:p w14:paraId="77A4BF20" w14:textId="77777777" w:rsidR="0029312F" w:rsidRDefault="00000000">
      <w:pPr>
        <w:pStyle w:val="afffffffff8"/>
      </w:pPr>
      <w:r>
        <w:rPr>
          <w:rFonts w:hint="eastAsia"/>
        </w:rPr>
        <w:t>由冲击试验结果获得评价反应堆压力容器材料断裂韧性</w:t>
      </w:r>
      <w:r>
        <w:rPr>
          <w:rFonts w:hint="eastAsia"/>
          <w:i/>
          <w:iCs/>
        </w:rPr>
        <w:t>K</w:t>
      </w:r>
      <w:r>
        <w:rPr>
          <w:rFonts w:hint="eastAsia"/>
          <w:i/>
          <w:iCs/>
          <w:vertAlign w:val="subscript"/>
        </w:rPr>
        <w:t>IC</w:t>
      </w:r>
      <w:r>
        <w:rPr>
          <w:rFonts w:hint="eastAsia"/>
        </w:rPr>
        <w:t>参考温度</w:t>
      </w:r>
      <w:r>
        <w:rPr>
          <w:rFonts w:hint="eastAsia"/>
          <w:i/>
          <w:iCs/>
        </w:rPr>
        <w:t>RT</w:t>
      </w:r>
      <w:r>
        <w:rPr>
          <w:rFonts w:hint="eastAsia"/>
          <w:i/>
          <w:iCs/>
          <w:vertAlign w:val="subscript"/>
        </w:rPr>
        <w:t>NDT</w:t>
      </w:r>
      <w:r>
        <w:rPr>
          <w:rFonts w:hint="eastAsia"/>
        </w:rPr>
        <w:t>的准确数据。</w:t>
      </w:r>
    </w:p>
    <w:p w14:paraId="0645343A" w14:textId="77777777" w:rsidR="0029312F" w:rsidRDefault="00000000">
      <w:pPr>
        <w:pStyle w:val="afffffffff8"/>
      </w:pPr>
      <w:r>
        <w:rPr>
          <w:rFonts w:hint="eastAsia"/>
        </w:rPr>
        <w:t>由拉伸试验获得评价反应堆压力容器材料强度和塑性变化的准确数据。</w:t>
      </w:r>
    </w:p>
    <w:p w14:paraId="27F14374" w14:textId="77777777" w:rsidR="0029312F" w:rsidRDefault="00000000">
      <w:pPr>
        <w:pStyle w:val="afffffffff8"/>
      </w:pPr>
      <w:r>
        <w:rPr>
          <w:rFonts w:hint="eastAsia"/>
        </w:rPr>
        <w:t>如有必要，由断裂韧性试验获得因辐照引起的反应堆压力容器材料断裂韧性变化。</w:t>
      </w:r>
    </w:p>
    <w:p w14:paraId="6DB57D53" w14:textId="77777777" w:rsidR="0029312F" w:rsidRDefault="00000000">
      <w:pPr>
        <w:pStyle w:val="afff3"/>
        <w:spacing w:before="120" w:after="120"/>
      </w:pPr>
      <w:bookmarkStart w:id="118" w:name="_Toc216792880"/>
      <w:r>
        <w:rPr>
          <w:rFonts w:hint="eastAsia"/>
        </w:rPr>
        <w:t>单项试验和分析报告</w:t>
      </w:r>
      <w:bookmarkEnd w:id="118"/>
    </w:p>
    <w:p w14:paraId="6695BE3B" w14:textId="77777777" w:rsidR="0029312F" w:rsidRDefault="00000000">
      <w:pPr>
        <w:pStyle w:val="afffffffff8"/>
      </w:pPr>
      <w:r>
        <w:rPr>
          <w:rFonts w:hint="eastAsia"/>
        </w:rPr>
        <w:t>应针对具体机组，至少编制冲击试验及分析、拉伸试验及分析、断裂韧性测试及分析（可项）、中子剂量探测器测量及分析、温度监测器检查及分析等单项报告。</w:t>
      </w:r>
    </w:p>
    <w:p w14:paraId="19AFB8A0" w14:textId="77777777" w:rsidR="0029312F" w:rsidRDefault="00000000">
      <w:pPr>
        <w:pStyle w:val="afffffffff8"/>
      </w:pPr>
      <w:r>
        <w:rPr>
          <w:rFonts w:hint="eastAsia"/>
        </w:rPr>
        <w:t>单项报告应至少包含第10章所述的试验结果和分析结论。</w:t>
      </w:r>
    </w:p>
    <w:p w14:paraId="054A87C7" w14:textId="77777777" w:rsidR="0029312F" w:rsidRDefault="00000000">
      <w:pPr>
        <w:pStyle w:val="afffffffff8"/>
      </w:pPr>
      <w:r>
        <w:rPr>
          <w:rFonts w:hint="eastAsia"/>
        </w:rPr>
        <w:t>如辐照监督管拆解、样品测量及分析过程中有与相关法规、标准、技术规格书、程序等文件要求不符的情况，应在单项试验及分析报告中详细记录、并分析、评价存在的不符合项对辐照监督试验结果的影响。</w:t>
      </w:r>
    </w:p>
    <w:p w14:paraId="174792DF" w14:textId="77777777" w:rsidR="0029312F" w:rsidRDefault="00000000">
      <w:pPr>
        <w:pStyle w:val="afff2"/>
        <w:spacing w:before="240" w:after="240"/>
      </w:pPr>
      <w:bookmarkStart w:id="119" w:name="_Toc216792881"/>
      <w:bookmarkStart w:id="120" w:name="_Toc216792898"/>
      <w:r>
        <w:rPr>
          <w:rFonts w:hint="eastAsia"/>
        </w:rPr>
        <w:t>反应堆压力容器材料辐照损伤评价</w:t>
      </w:r>
      <w:bookmarkEnd w:id="119"/>
      <w:bookmarkEnd w:id="120"/>
    </w:p>
    <w:p w14:paraId="2FDA239E" w14:textId="77777777" w:rsidR="0029312F" w:rsidRDefault="00000000">
      <w:pPr>
        <w:pStyle w:val="afffffffff5"/>
      </w:pPr>
      <w:r>
        <w:rPr>
          <w:rFonts w:hint="eastAsia"/>
        </w:rPr>
        <w:t>应依据相关法规、导则、标准，采用经检验准确的中子学参数预测辐照监督管内辐照监督材料力学性能，并与辐照监督管内力学性能监督试样试验结果进行比较，评价预测与实测结果的可靠性。</w:t>
      </w:r>
    </w:p>
    <w:p w14:paraId="5E953D7D" w14:textId="77777777" w:rsidR="0029312F" w:rsidRDefault="00000000">
      <w:pPr>
        <w:pStyle w:val="afffffffff5"/>
      </w:pPr>
      <w:r>
        <w:rPr>
          <w:rFonts w:hint="eastAsia"/>
        </w:rPr>
        <w:t>应依据相关法规、导则、标准，基于辐照监督试验结果和分析结论，评价当前反应堆压力容器材料辐照损伤状态。</w:t>
      </w:r>
    </w:p>
    <w:p w14:paraId="1E64BD21" w14:textId="77777777" w:rsidR="0029312F" w:rsidRDefault="00000000">
      <w:pPr>
        <w:pStyle w:val="afffffffff5"/>
      </w:pPr>
      <w:r>
        <w:rPr>
          <w:rFonts w:hint="eastAsia"/>
        </w:rPr>
        <w:t>应依据辐照监督试验和分析结果以及后续机组运行状态，预测运行寿期内反应堆压力容器材料的辐照损伤状态。</w:t>
      </w:r>
    </w:p>
    <w:p w14:paraId="19B850DD" w14:textId="77777777" w:rsidR="0029312F" w:rsidRDefault="00000000">
      <w:pPr>
        <w:pStyle w:val="afffffffff5"/>
      </w:pPr>
      <w:r>
        <w:rPr>
          <w:rFonts w:hint="eastAsia"/>
        </w:rPr>
        <w:t>若辐照监督管内中子剂量探测器测量结果与理论计算结果的差异超过20%，则应详细检查中子剂量探测器测量及分析结果的准确性，同时核查中子输运理论计算中几何建模、数据库处理、中子源</w:t>
      </w:r>
      <w:proofErr w:type="gramStart"/>
      <w:r>
        <w:rPr>
          <w:rFonts w:hint="eastAsia"/>
        </w:rPr>
        <w:t>项计算</w:t>
      </w:r>
      <w:proofErr w:type="gramEnd"/>
      <w:r>
        <w:rPr>
          <w:rFonts w:hint="eastAsia"/>
        </w:rPr>
        <w:t>及输运计算的方法与输入参数，并修正错误。</w:t>
      </w:r>
    </w:p>
    <w:p w14:paraId="4F02F8C3" w14:textId="77777777" w:rsidR="0029312F" w:rsidRDefault="00000000">
      <w:pPr>
        <w:pStyle w:val="afffffffff5"/>
      </w:pPr>
      <w:r>
        <w:rPr>
          <w:rFonts w:hint="eastAsia"/>
        </w:rPr>
        <w:t>若无法消除实测结果与理论计算结果之间的差异，则应参考相似机组辐照监督管的试验结果及理论计算结果，通过对比分析确定造成差异的可能原因。</w:t>
      </w:r>
    </w:p>
    <w:p w14:paraId="400E3FCF" w14:textId="77777777" w:rsidR="0029312F" w:rsidRDefault="00000000">
      <w:pPr>
        <w:pStyle w:val="afffffffff5"/>
      </w:pPr>
      <w:r>
        <w:rPr>
          <w:rFonts w:hint="eastAsia"/>
        </w:rPr>
        <w:t>若实测结果与理论计算结果之间存在无法解释的差异，宜采用其它中子注量监测手段（如堆外中子注量测量技术）测量反应堆压力容器中子注量，进一步检验输入参数和计算方法的准确性。</w:t>
      </w:r>
    </w:p>
    <w:p w14:paraId="7DB2C269" w14:textId="77777777" w:rsidR="0029312F" w:rsidRDefault="00000000">
      <w:pPr>
        <w:pStyle w:val="afffffffff5"/>
      </w:pPr>
      <w:r>
        <w:rPr>
          <w:rFonts w:hint="eastAsia"/>
        </w:rPr>
        <w:t>若中子注量理论计算结果的不确定度超过20%，宜结合堆外中子注量测量技术与辐照监督管内中子剂量探测器测量结果，降低反应堆压力容器中子注量的不确定度。</w:t>
      </w:r>
    </w:p>
    <w:p w14:paraId="4DD92AA8" w14:textId="77777777" w:rsidR="0029312F" w:rsidRDefault="00000000">
      <w:pPr>
        <w:pStyle w:val="afff2"/>
        <w:spacing w:before="240" w:after="240"/>
      </w:pPr>
      <w:bookmarkStart w:id="121" w:name="_Toc216792882"/>
      <w:bookmarkStart w:id="122" w:name="_Toc216792899"/>
      <w:r>
        <w:rPr>
          <w:rFonts w:hint="eastAsia"/>
        </w:rPr>
        <w:t>反应堆压力容器安全评价</w:t>
      </w:r>
      <w:bookmarkEnd w:id="121"/>
      <w:bookmarkEnd w:id="122"/>
    </w:p>
    <w:p w14:paraId="1F465A42" w14:textId="77777777" w:rsidR="0029312F" w:rsidRDefault="00000000">
      <w:pPr>
        <w:pStyle w:val="afffffffff5"/>
      </w:pPr>
      <w:r>
        <w:rPr>
          <w:rFonts w:hint="eastAsia"/>
        </w:rPr>
        <w:t>应依据相关法规、导则、标准及反应堆压力容器材料辐照损伤评价结论，对机组当前运行状态以及正常试验条件下的反应堆压力容器安全性进行评价。</w:t>
      </w:r>
    </w:p>
    <w:p w14:paraId="690146AE" w14:textId="77777777" w:rsidR="0029312F" w:rsidRDefault="00000000">
      <w:pPr>
        <w:pStyle w:val="afffffffff5"/>
      </w:pPr>
      <w:r>
        <w:rPr>
          <w:rFonts w:hint="eastAsia"/>
        </w:rPr>
        <w:t>根据机组运行寿期内反应堆压力容器材料辐照损伤状态的预测结果，对机组运行压力-温度限值曲线进行适用性评价。若现行压力-温度限值曲线无法满足机组运行要求，应予以修订。</w:t>
      </w:r>
    </w:p>
    <w:p w14:paraId="71015D98" w14:textId="77777777" w:rsidR="0029312F" w:rsidRDefault="00000000">
      <w:pPr>
        <w:pStyle w:val="afffffffff5"/>
      </w:pPr>
      <w:r>
        <w:rPr>
          <w:rFonts w:hint="eastAsia"/>
        </w:rPr>
        <w:t>应依据辐照监督管试验和分析结果评价当前辐照监督大纲的合理性。若当前辐照监督管提取计划无法满足督要求，应按相关法规、导则、标准调整提取计划，确保满足要求。</w:t>
      </w:r>
    </w:p>
    <w:p w14:paraId="5C708EFF" w14:textId="77777777" w:rsidR="0029312F" w:rsidRDefault="00000000">
      <w:pPr>
        <w:pStyle w:val="afffffffff5"/>
      </w:pPr>
      <w:r>
        <w:rPr>
          <w:rFonts w:hint="eastAsia"/>
        </w:rPr>
        <w:t>当具备多组有效的辐照监督力学性能试验结果时，可用试验结果对反应堆压力容器材料辐照损伤预测模型中的化学成分因子进行修正。可采用修正的化学成分因子预测反应堆压力容器材料在机组后续运行期间的辐照损伤状态。</w:t>
      </w:r>
    </w:p>
    <w:p w14:paraId="652AB35D" w14:textId="77777777" w:rsidR="0029312F" w:rsidRDefault="00000000">
      <w:pPr>
        <w:pStyle w:val="afff2"/>
        <w:spacing w:before="240" w:after="240"/>
      </w:pPr>
      <w:bookmarkStart w:id="123" w:name="_Toc216792883"/>
      <w:bookmarkStart w:id="124" w:name="_Toc216792900"/>
      <w:r>
        <w:rPr>
          <w:rFonts w:hint="eastAsia"/>
        </w:rPr>
        <w:t>试验报告</w:t>
      </w:r>
      <w:bookmarkEnd w:id="123"/>
      <w:bookmarkEnd w:id="124"/>
    </w:p>
    <w:p w14:paraId="322FD1C0" w14:textId="77777777" w:rsidR="0029312F" w:rsidRDefault="00000000">
      <w:pPr>
        <w:pStyle w:val="afffffc"/>
        <w:ind w:firstLine="420"/>
      </w:pPr>
      <w:r>
        <w:rPr>
          <w:rFonts w:hint="eastAsia"/>
        </w:rPr>
        <w:lastRenderedPageBreak/>
        <w:t>反应堆压力容器辐照监督试验报告应至少包含以下内容：</w:t>
      </w:r>
    </w:p>
    <w:p w14:paraId="6F8E79DB" w14:textId="77777777" w:rsidR="0029312F" w:rsidRDefault="00000000">
      <w:pPr>
        <w:pStyle w:val="af8"/>
      </w:pPr>
      <w:r>
        <w:rPr>
          <w:rFonts w:hint="eastAsia"/>
        </w:rPr>
        <w:t>辐照监督管在反应堆堆内布置的相关信息；</w:t>
      </w:r>
    </w:p>
    <w:p w14:paraId="47E5AEDC" w14:textId="77777777" w:rsidR="0029312F" w:rsidRDefault="00000000">
      <w:pPr>
        <w:pStyle w:val="af8"/>
      </w:pPr>
      <w:r>
        <w:rPr>
          <w:rFonts w:hint="eastAsia"/>
        </w:rPr>
        <w:t>辐照监督管的超前因子、实际提取时间等；</w:t>
      </w:r>
    </w:p>
    <w:p w14:paraId="517201C4" w14:textId="77777777" w:rsidR="0029312F" w:rsidRDefault="00000000">
      <w:pPr>
        <w:pStyle w:val="af8"/>
      </w:pPr>
      <w:r>
        <w:rPr>
          <w:rFonts w:hint="eastAsia"/>
        </w:rPr>
        <w:t>辐照监督管受辐照期间机组运行历史，</w:t>
      </w:r>
      <w:proofErr w:type="gramStart"/>
      <w:r>
        <w:rPr>
          <w:rFonts w:hint="eastAsia"/>
        </w:rPr>
        <w:t>包括起停堆</w:t>
      </w:r>
      <w:proofErr w:type="gramEnd"/>
      <w:r>
        <w:rPr>
          <w:rFonts w:hint="eastAsia"/>
        </w:rPr>
        <w:t>时间、功率运行情况等；</w:t>
      </w:r>
    </w:p>
    <w:p w14:paraId="1DBA9FDC" w14:textId="77777777" w:rsidR="0029312F" w:rsidRDefault="00000000">
      <w:pPr>
        <w:pStyle w:val="af8"/>
      </w:pPr>
      <w:r>
        <w:rPr>
          <w:rFonts w:hint="eastAsia"/>
        </w:rPr>
        <w:t>堆芯</w:t>
      </w:r>
      <w:proofErr w:type="gramStart"/>
      <w:r>
        <w:rPr>
          <w:rFonts w:hint="eastAsia"/>
        </w:rPr>
        <w:t>带区材料</w:t>
      </w:r>
      <w:proofErr w:type="gramEnd"/>
      <w:r>
        <w:rPr>
          <w:rFonts w:hint="eastAsia"/>
        </w:rPr>
        <w:t>的化学成分、加工工艺以及未辐照状态下材料冲击功、拉伸性能、落锤试验结果、初始</w:t>
      </w:r>
      <w:r>
        <w:rPr>
          <w:rFonts w:hint="eastAsia"/>
          <w:i/>
          <w:iCs/>
        </w:rPr>
        <w:t>RT</w:t>
      </w:r>
      <w:r>
        <w:rPr>
          <w:rFonts w:hint="eastAsia"/>
          <w:i/>
          <w:iCs/>
          <w:vertAlign w:val="subscript"/>
        </w:rPr>
        <w:t>NDT</w:t>
      </w:r>
      <w:r>
        <w:rPr>
          <w:rFonts w:hint="eastAsia"/>
        </w:rPr>
        <w:t>等；</w:t>
      </w:r>
    </w:p>
    <w:p w14:paraId="1B9384BB" w14:textId="77777777" w:rsidR="0029312F" w:rsidRDefault="00000000">
      <w:pPr>
        <w:pStyle w:val="af8"/>
      </w:pPr>
      <w:r>
        <w:rPr>
          <w:rFonts w:hint="eastAsia"/>
        </w:rPr>
        <w:t>辐照监督材料的化学成分、加工工艺、材料批号和</w:t>
      </w:r>
      <w:proofErr w:type="gramStart"/>
      <w:r>
        <w:rPr>
          <w:rFonts w:hint="eastAsia"/>
        </w:rPr>
        <w:t>炉号</w:t>
      </w:r>
      <w:proofErr w:type="gramEnd"/>
      <w:r>
        <w:rPr>
          <w:rFonts w:hint="eastAsia"/>
        </w:rPr>
        <w:t>等，并说明这些数据的来源，若与反应堆压力容器材料的加工工艺、批号和</w:t>
      </w:r>
      <w:proofErr w:type="gramStart"/>
      <w:r>
        <w:rPr>
          <w:rFonts w:hint="eastAsia"/>
        </w:rPr>
        <w:t>炉号</w:t>
      </w:r>
      <w:proofErr w:type="gramEnd"/>
      <w:r>
        <w:rPr>
          <w:rFonts w:hint="eastAsia"/>
        </w:rPr>
        <w:t>有任何差异，应在报告中详细说明；</w:t>
      </w:r>
    </w:p>
    <w:p w14:paraId="0557AA31" w14:textId="77777777" w:rsidR="0029312F" w:rsidRDefault="00000000">
      <w:pPr>
        <w:pStyle w:val="af8"/>
      </w:pPr>
      <w:r>
        <w:rPr>
          <w:rFonts w:hint="eastAsia"/>
        </w:rPr>
        <w:t>辐照监督管内力学性能监督试样、中子探测器和温度监测器的信息；</w:t>
      </w:r>
    </w:p>
    <w:p w14:paraId="0F28CC61" w14:textId="77777777" w:rsidR="0029312F" w:rsidRDefault="00000000">
      <w:pPr>
        <w:pStyle w:val="af8"/>
      </w:pPr>
      <w:r>
        <w:rPr>
          <w:rFonts w:hint="eastAsia"/>
        </w:rPr>
        <w:t>中子学参数计算过程及结果；</w:t>
      </w:r>
    </w:p>
    <w:p w14:paraId="2B357005" w14:textId="77777777" w:rsidR="0029312F" w:rsidRDefault="00000000">
      <w:pPr>
        <w:pStyle w:val="af8"/>
      </w:pPr>
      <w:r>
        <w:rPr>
          <w:rFonts w:hint="eastAsia"/>
        </w:rPr>
        <w:t>辐照</w:t>
      </w:r>
      <w:proofErr w:type="gramStart"/>
      <w:r>
        <w:rPr>
          <w:rFonts w:hint="eastAsia"/>
        </w:rPr>
        <w:t>后材料</w:t>
      </w:r>
      <w:proofErr w:type="gramEnd"/>
      <w:r>
        <w:rPr>
          <w:rFonts w:hint="eastAsia"/>
        </w:rPr>
        <w:t>的力学性能监督试样的试验结果、中子剂量探测器测量、温度监测器检查及分析结果；</w:t>
      </w:r>
    </w:p>
    <w:p w14:paraId="3C172DEF" w14:textId="77777777" w:rsidR="0029312F" w:rsidRDefault="00000000">
      <w:pPr>
        <w:pStyle w:val="af8"/>
      </w:pPr>
      <w:r>
        <w:rPr>
          <w:rFonts w:hint="eastAsia"/>
        </w:rPr>
        <w:t>基于辐照监督试验的反应堆压力容器材料辐照损伤状态的评价结果；</w:t>
      </w:r>
    </w:p>
    <w:p w14:paraId="6049F38D" w14:textId="77777777" w:rsidR="0029312F" w:rsidRDefault="00000000">
      <w:pPr>
        <w:pStyle w:val="af8"/>
      </w:pPr>
      <w:r>
        <w:rPr>
          <w:rFonts w:hint="eastAsia"/>
        </w:rPr>
        <w:t>基于反应堆压力容器材料辐照损伤状态对反应堆压力容器安全评价的结论；</w:t>
      </w:r>
    </w:p>
    <w:p w14:paraId="10115E3D" w14:textId="77777777" w:rsidR="0029312F" w:rsidRDefault="00000000">
      <w:pPr>
        <w:pStyle w:val="af8"/>
      </w:pPr>
      <w:r>
        <w:rPr>
          <w:rFonts w:hint="eastAsia"/>
        </w:rPr>
        <w:t>其他需要解释说明的异常或偏差。</w:t>
      </w:r>
    </w:p>
    <w:p w14:paraId="055900DD" w14:textId="77777777" w:rsidR="0029312F" w:rsidRDefault="0029312F">
      <w:pPr>
        <w:pStyle w:val="afffffc"/>
        <w:ind w:firstLine="420"/>
        <w:sectPr w:rsidR="0029312F">
          <w:pgSz w:w="11906" w:h="16838"/>
          <w:pgMar w:top="1928" w:right="1134" w:bottom="1134" w:left="1134" w:header="1418" w:footer="1134" w:gutter="284"/>
          <w:pgNumType w:start="1"/>
          <w:cols w:space="425"/>
          <w:formProt w:val="0"/>
          <w:docGrid w:linePitch="312"/>
        </w:sectPr>
      </w:pPr>
      <w:bookmarkStart w:id="125" w:name="BookMark6"/>
      <w:bookmarkEnd w:id="31"/>
    </w:p>
    <w:p w14:paraId="4282C253" w14:textId="77777777" w:rsidR="0029312F" w:rsidRDefault="00000000">
      <w:pPr>
        <w:pStyle w:val="affffff3"/>
        <w:spacing w:after="120"/>
      </w:pPr>
      <w:bookmarkStart w:id="126" w:name="_Toc216792901"/>
      <w:bookmarkStart w:id="127" w:name="_Toc216792884"/>
      <w:r>
        <w:rPr>
          <w:rFonts w:hint="eastAsia"/>
          <w:spacing w:val="105"/>
        </w:rPr>
        <w:lastRenderedPageBreak/>
        <w:t>参考文</w:t>
      </w:r>
      <w:r>
        <w:rPr>
          <w:rFonts w:hint="eastAsia"/>
        </w:rPr>
        <w:t>献</w:t>
      </w:r>
      <w:bookmarkEnd w:id="126"/>
      <w:bookmarkEnd w:id="127"/>
    </w:p>
    <w:p w14:paraId="2D65D227" w14:textId="77777777" w:rsidR="0029312F" w:rsidRDefault="0029312F">
      <w:pPr>
        <w:pStyle w:val="afffffc"/>
        <w:ind w:firstLine="420"/>
      </w:pPr>
    </w:p>
    <w:p w14:paraId="363C0081" w14:textId="77777777" w:rsidR="0029312F" w:rsidRDefault="00000000">
      <w:pPr>
        <w:pStyle w:val="afffffc"/>
        <w:numPr>
          <w:ilvl w:val="0"/>
          <w:numId w:val="33"/>
        </w:numPr>
        <w:ind w:firstLineChars="0"/>
        <w:rPr>
          <w:rFonts w:ascii="宋体" w:hAnsi="宋体" w:hint="eastAsia"/>
        </w:rPr>
      </w:pPr>
      <w:r>
        <w:rPr>
          <w:rFonts w:ascii="宋体" w:hAnsi="宋体" w:hint="eastAsia"/>
        </w:rPr>
        <w:t>HAD102/08—2020 核动力厂反应堆冷却剂系统及其有关系统的设计</w:t>
      </w:r>
    </w:p>
    <w:p w14:paraId="36EC22A4" w14:textId="77777777" w:rsidR="0029312F" w:rsidRDefault="00000000">
      <w:pPr>
        <w:pStyle w:val="afffffc"/>
        <w:numPr>
          <w:ilvl w:val="0"/>
          <w:numId w:val="33"/>
        </w:numPr>
        <w:ind w:firstLineChars="0"/>
        <w:rPr>
          <w:rFonts w:ascii="宋体" w:hAnsi="宋体" w:hint="eastAsia"/>
        </w:rPr>
      </w:pPr>
      <w:r>
        <w:rPr>
          <w:rFonts w:ascii="宋体" w:hAnsi="宋体" w:hint="eastAsia"/>
        </w:rPr>
        <w:t xml:space="preserve">HAD 102/17 核动力厂安全评价与验证 </w:t>
      </w:r>
    </w:p>
    <w:p w14:paraId="1BF9B5E3" w14:textId="77777777" w:rsidR="0029312F" w:rsidRDefault="00000000">
      <w:pPr>
        <w:pStyle w:val="afffffc"/>
        <w:numPr>
          <w:ilvl w:val="0"/>
          <w:numId w:val="33"/>
        </w:numPr>
        <w:ind w:firstLineChars="0"/>
        <w:rPr>
          <w:rFonts w:ascii="宋体" w:hAnsi="宋体" w:hint="eastAsia"/>
        </w:rPr>
      </w:pPr>
      <w:r>
        <w:rPr>
          <w:rFonts w:ascii="宋体" w:hAnsi="宋体" w:hint="eastAsia"/>
        </w:rPr>
        <w:t>GB/T 223 钢铁及合金化学分析方法</w:t>
      </w:r>
    </w:p>
    <w:p w14:paraId="55C383CE" w14:textId="77777777" w:rsidR="0029312F" w:rsidRDefault="00000000">
      <w:pPr>
        <w:pStyle w:val="afffffc"/>
        <w:numPr>
          <w:ilvl w:val="0"/>
          <w:numId w:val="33"/>
        </w:numPr>
        <w:ind w:firstLineChars="0"/>
        <w:rPr>
          <w:rFonts w:ascii="宋体" w:hAnsi="宋体" w:hint="eastAsia"/>
        </w:rPr>
      </w:pPr>
      <w:r>
        <w:rPr>
          <w:rFonts w:ascii="宋体" w:hAnsi="宋体" w:hint="eastAsia"/>
        </w:rPr>
        <w:t>GB/T 12778—2008 金属</w:t>
      </w:r>
      <w:proofErr w:type="gramStart"/>
      <w:r>
        <w:rPr>
          <w:rFonts w:ascii="宋体" w:hAnsi="宋体" w:hint="eastAsia"/>
        </w:rPr>
        <w:t>夏比冲击</w:t>
      </w:r>
      <w:proofErr w:type="gramEnd"/>
      <w:r>
        <w:rPr>
          <w:rFonts w:ascii="宋体" w:hAnsi="宋体" w:hint="eastAsia"/>
        </w:rPr>
        <w:t>断口测定方法</w:t>
      </w:r>
    </w:p>
    <w:p w14:paraId="48A45478" w14:textId="77777777" w:rsidR="0029312F" w:rsidRDefault="00000000">
      <w:pPr>
        <w:pStyle w:val="afffffc"/>
        <w:numPr>
          <w:ilvl w:val="0"/>
          <w:numId w:val="33"/>
        </w:numPr>
        <w:ind w:firstLineChars="0"/>
        <w:rPr>
          <w:rFonts w:ascii="宋体" w:hAnsi="宋体" w:hint="eastAsia"/>
        </w:rPr>
      </w:pPr>
      <w:r>
        <w:rPr>
          <w:rFonts w:ascii="宋体" w:hAnsi="宋体" w:hint="eastAsia"/>
        </w:rPr>
        <w:t>GB/T 6803—2023 铁素体钢的无塑性转变温度落锤试验方法</w:t>
      </w:r>
    </w:p>
    <w:p w14:paraId="6349693E" w14:textId="77777777" w:rsidR="0029312F" w:rsidRDefault="00000000">
      <w:pPr>
        <w:pStyle w:val="afffffc"/>
        <w:numPr>
          <w:ilvl w:val="0"/>
          <w:numId w:val="33"/>
        </w:numPr>
        <w:ind w:firstLineChars="0"/>
        <w:rPr>
          <w:rFonts w:ascii="宋体" w:hAnsi="宋体" w:hint="eastAsia"/>
        </w:rPr>
      </w:pPr>
      <w:r>
        <w:rPr>
          <w:rFonts w:ascii="宋体" w:hAnsi="宋体" w:hint="eastAsia"/>
        </w:rPr>
        <w:t xml:space="preserve">GB/T 2975—2018 </w:t>
      </w:r>
      <w:proofErr w:type="gramStart"/>
      <w:r>
        <w:rPr>
          <w:rFonts w:ascii="宋体" w:hAnsi="宋体" w:hint="eastAsia"/>
        </w:rPr>
        <w:t>钢及钢产品</w:t>
      </w:r>
      <w:proofErr w:type="gramEnd"/>
      <w:r>
        <w:rPr>
          <w:rFonts w:ascii="宋体" w:hAnsi="宋体" w:hint="eastAsia"/>
        </w:rPr>
        <w:t>力学性能试验取样位置及试样制备</w:t>
      </w:r>
    </w:p>
    <w:p w14:paraId="12574DB6" w14:textId="77777777" w:rsidR="0029312F" w:rsidRDefault="00000000">
      <w:pPr>
        <w:pStyle w:val="afffffc"/>
        <w:numPr>
          <w:ilvl w:val="0"/>
          <w:numId w:val="33"/>
        </w:numPr>
        <w:ind w:firstLineChars="0"/>
        <w:rPr>
          <w:rFonts w:ascii="宋体" w:hAnsi="宋体" w:hint="eastAsia"/>
        </w:rPr>
      </w:pPr>
      <w:r>
        <w:rPr>
          <w:rFonts w:ascii="宋体" w:hAnsi="宋体" w:hint="eastAsia"/>
        </w:rPr>
        <w:t>GB/T 21143—2025 金属材料 准静态断裂韧度的统一试验方法</w:t>
      </w:r>
    </w:p>
    <w:p w14:paraId="3A4CFEF5" w14:textId="77777777" w:rsidR="0029312F" w:rsidRDefault="00000000">
      <w:pPr>
        <w:pStyle w:val="afffffc"/>
        <w:numPr>
          <w:ilvl w:val="0"/>
          <w:numId w:val="33"/>
        </w:numPr>
        <w:ind w:firstLineChars="0"/>
        <w:rPr>
          <w:rFonts w:ascii="宋体" w:hAnsi="宋体" w:hint="eastAsia"/>
        </w:rPr>
      </w:pPr>
      <w:r>
        <w:rPr>
          <w:rFonts w:ascii="宋体" w:hAnsi="宋体" w:hint="eastAsia"/>
        </w:rPr>
        <w:t>GB/T 228.1—2021 金属材料 拉伸试验 第1部分：室温试验方法</w:t>
      </w:r>
    </w:p>
    <w:p w14:paraId="36DDCD8D" w14:textId="77777777" w:rsidR="0029312F" w:rsidRDefault="00000000">
      <w:pPr>
        <w:pStyle w:val="afffffc"/>
        <w:numPr>
          <w:ilvl w:val="0"/>
          <w:numId w:val="33"/>
        </w:numPr>
        <w:ind w:firstLineChars="0"/>
        <w:rPr>
          <w:rFonts w:ascii="宋体" w:hAnsi="宋体" w:hint="eastAsia"/>
        </w:rPr>
      </w:pPr>
      <w:r>
        <w:rPr>
          <w:rFonts w:ascii="宋体" w:hAnsi="宋体" w:hint="eastAsia"/>
        </w:rPr>
        <w:t>GB/T 228.2—2015 金属材料 拉伸试验 第2部分：高温试验方法</w:t>
      </w:r>
    </w:p>
    <w:p w14:paraId="76237E2D" w14:textId="77777777" w:rsidR="0029312F" w:rsidRDefault="00000000">
      <w:pPr>
        <w:pStyle w:val="afffffc"/>
        <w:numPr>
          <w:ilvl w:val="0"/>
          <w:numId w:val="33"/>
        </w:numPr>
        <w:ind w:firstLineChars="0"/>
        <w:rPr>
          <w:rFonts w:ascii="宋体" w:hAnsi="宋体" w:hint="eastAsia"/>
        </w:rPr>
      </w:pPr>
      <w:r>
        <w:rPr>
          <w:rFonts w:ascii="宋体" w:hAnsi="宋体" w:hint="eastAsia"/>
        </w:rPr>
        <w:t xml:space="preserve">GB/T 229—2020 金属材料 </w:t>
      </w:r>
      <w:proofErr w:type="gramStart"/>
      <w:r>
        <w:rPr>
          <w:rFonts w:ascii="宋体" w:hAnsi="宋体" w:hint="eastAsia"/>
        </w:rPr>
        <w:t>夏比摆锤</w:t>
      </w:r>
      <w:proofErr w:type="gramEnd"/>
      <w:r>
        <w:rPr>
          <w:rFonts w:ascii="宋体" w:hAnsi="宋体" w:hint="eastAsia"/>
        </w:rPr>
        <w:t>冲击试验方法</w:t>
      </w:r>
    </w:p>
    <w:p w14:paraId="4AAC6A06" w14:textId="77777777" w:rsidR="0029312F" w:rsidRDefault="00000000">
      <w:pPr>
        <w:pStyle w:val="afffffc"/>
        <w:numPr>
          <w:ilvl w:val="0"/>
          <w:numId w:val="33"/>
        </w:numPr>
        <w:ind w:firstLineChars="0"/>
        <w:rPr>
          <w:rFonts w:ascii="宋体" w:hAnsi="宋体" w:hint="eastAsia"/>
        </w:rPr>
      </w:pPr>
      <w:r>
        <w:rPr>
          <w:rFonts w:ascii="宋体" w:hAnsi="宋体" w:hint="eastAsia"/>
        </w:rPr>
        <w:t>GB 11806—2019 放射性物品安全运输规程</w:t>
      </w:r>
    </w:p>
    <w:p w14:paraId="536C54C0" w14:textId="77777777" w:rsidR="0029312F" w:rsidRDefault="00000000">
      <w:pPr>
        <w:pStyle w:val="afffffc"/>
        <w:numPr>
          <w:ilvl w:val="0"/>
          <w:numId w:val="33"/>
        </w:numPr>
        <w:ind w:firstLineChars="0"/>
        <w:rPr>
          <w:rFonts w:ascii="宋体" w:hAnsi="宋体" w:hint="eastAsia"/>
        </w:rPr>
      </w:pPr>
      <w:r>
        <w:rPr>
          <w:rFonts w:ascii="宋体" w:hAnsi="宋体"/>
        </w:rPr>
        <w:t>ASTM E185</w:t>
      </w:r>
      <w:r>
        <w:rPr>
          <w:rFonts w:ascii="宋体" w:hAnsi="宋体" w:hint="eastAsia"/>
        </w:rPr>
        <w:t>—</w:t>
      </w:r>
      <w:r>
        <w:rPr>
          <w:rFonts w:ascii="宋体" w:hAnsi="宋体"/>
        </w:rPr>
        <w:t>25 Standard Practice for Design of Surveillance Programs for Light-Water Moderated Nuclear Power Reactor Vessels</w:t>
      </w:r>
    </w:p>
    <w:p w14:paraId="7DFC2B27" w14:textId="77777777" w:rsidR="0029312F" w:rsidRDefault="00000000">
      <w:pPr>
        <w:pStyle w:val="afffffc"/>
        <w:numPr>
          <w:ilvl w:val="0"/>
          <w:numId w:val="33"/>
        </w:numPr>
        <w:ind w:firstLineChars="0"/>
        <w:rPr>
          <w:rFonts w:ascii="宋体" w:hAnsi="宋体" w:hint="eastAsia"/>
        </w:rPr>
      </w:pPr>
      <w:r>
        <w:rPr>
          <w:rFonts w:ascii="宋体" w:hAnsi="宋体"/>
        </w:rPr>
        <w:t>ASTM E1214</w:t>
      </w:r>
      <w:r>
        <w:rPr>
          <w:rFonts w:ascii="宋体" w:hAnsi="宋体" w:hint="eastAsia"/>
        </w:rPr>
        <w:t>—</w:t>
      </w:r>
      <w:r>
        <w:rPr>
          <w:rFonts w:ascii="宋体" w:hAnsi="宋体"/>
        </w:rPr>
        <w:t>11(2023) Standard Guide for Use of Melt Wire Temperature Monitors for Reactor Vessel Surveillance</w:t>
      </w:r>
    </w:p>
    <w:p w14:paraId="4E107C77" w14:textId="77777777" w:rsidR="0029312F" w:rsidRDefault="00000000">
      <w:pPr>
        <w:pStyle w:val="afffffc"/>
        <w:numPr>
          <w:ilvl w:val="0"/>
          <w:numId w:val="33"/>
        </w:numPr>
        <w:ind w:firstLineChars="0"/>
        <w:rPr>
          <w:rFonts w:ascii="宋体" w:hAnsi="宋体" w:hint="eastAsia"/>
        </w:rPr>
      </w:pPr>
      <w:r>
        <w:rPr>
          <w:rFonts w:ascii="宋体" w:hAnsi="宋体"/>
        </w:rPr>
        <w:t>ASTM E2215</w:t>
      </w:r>
      <w:r>
        <w:rPr>
          <w:rFonts w:ascii="宋体" w:hAnsi="宋体" w:hint="eastAsia"/>
        </w:rPr>
        <w:t>—</w:t>
      </w:r>
      <w:r>
        <w:rPr>
          <w:rFonts w:ascii="宋体" w:hAnsi="宋体"/>
        </w:rPr>
        <w:t xml:space="preserve">2024 Standard Practice for Evaluation of Surveillance Capsules from Light-Water Moderated Nuclear Power Reactor Vessels </w:t>
      </w:r>
    </w:p>
    <w:p w14:paraId="6983C076" w14:textId="77777777" w:rsidR="0029312F" w:rsidRDefault="00000000">
      <w:pPr>
        <w:pStyle w:val="afffffc"/>
        <w:numPr>
          <w:ilvl w:val="0"/>
          <w:numId w:val="33"/>
        </w:numPr>
        <w:ind w:firstLineChars="0"/>
        <w:rPr>
          <w:rFonts w:ascii="宋体" w:hAnsi="宋体" w:hint="eastAsia"/>
        </w:rPr>
      </w:pPr>
      <w:r>
        <w:rPr>
          <w:rFonts w:ascii="宋体" w:hAnsi="宋体" w:hint="eastAsia"/>
        </w:rPr>
        <w:t>ASTM A370 Test Methods and Practices for Chemical Analysis of Steel Products</w:t>
      </w:r>
    </w:p>
    <w:p w14:paraId="7E7B69E5" w14:textId="77777777" w:rsidR="0029312F" w:rsidRDefault="00000000">
      <w:pPr>
        <w:pStyle w:val="afffffc"/>
        <w:numPr>
          <w:ilvl w:val="0"/>
          <w:numId w:val="33"/>
        </w:numPr>
        <w:ind w:firstLineChars="0"/>
        <w:rPr>
          <w:rFonts w:ascii="宋体" w:hAnsi="宋体" w:hint="eastAsia"/>
        </w:rPr>
      </w:pPr>
      <w:r>
        <w:rPr>
          <w:rFonts w:ascii="宋体" w:hAnsi="宋体" w:hint="eastAsia"/>
        </w:rPr>
        <w:t>ASTM E8-16 Standard Test Methods for Tension Testing of Metallic Materials</w:t>
      </w:r>
    </w:p>
    <w:p w14:paraId="5F9A8022" w14:textId="77777777" w:rsidR="0029312F" w:rsidRDefault="00000000">
      <w:pPr>
        <w:pStyle w:val="afffffc"/>
        <w:numPr>
          <w:ilvl w:val="0"/>
          <w:numId w:val="33"/>
        </w:numPr>
        <w:ind w:firstLineChars="0"/>
        <w:rPr>
          <w:rFonts w:ascii="宋体" w:hAnsi="宋体" w:hint="eastAsia"/>
        </w:rPr>
      </w:pPr>
      <w:r>
        <w:rPr>
          <w:rFonts w:ascii="宋体" w:hAnsi="宋体" w:hint="eastAsia"/>
        </w:rPr>
        <w:t>ASTM E21-20 Standard Test Methods for Elevated Temperature Tension Tests of Metallic Materials</w:t>
      </w:r>
    </w:p>
    <w:p w14:paraId="453281A0" w14:textId="77777777" w:rsidR="0029312F" w:rsidRDefault="00000000">
      <w:pPr>
        <w:pStyle w:val="afffffc"/>
        <w:numPr>
          <w:ilvl w:val="0"/>
          <w:numId w:val="33"/>
        </w:numPr>
        <w:ind w:firstLineChars="0"/>
        <w:rPr>
          <w:rFonts w:ascii="宋体" w:hAnsi="宋体" w:hint="eastAsia"/>
        </w:rPr>
      </w:pPr>
      <w:r>
        <w:rPr>
          <w:rFonts w:ascii="宋体" w:hAnsi="宋体" w:hint="eastAsia"/>
        </w:rPr>
        <w:t>ASTM E23-06 Standard Test Methods for Notched Bar Impact Testing of Metallic Materials</w:t>
      </w:r>
    </w:p>
    <w:p w14:paraId="3DA3B8D5" w14:textId="77777777" w:rsidR="0029312F" w:rsidRDefault="00000000">
      <w:pPr>
        <w:pStyle w:val="afffffc"/>
        <w:numPr>
          <w:ilvl w:val="0"/>
          <w:numId w:val="33"/>
        </w:numPr>
        <w:ind w:firstLineChars="0"/>
        <w:rPr>
          <w:rFonts w:ascii="宋体" w:hAnsi="宋体" w:hint="eastAsia"/>
        </w:rPr>
      </w:pPr>
      <w:r>
        <w:rPr>
          <w:rFonts w:ascii="宋体" w:hAnsi="宋体" w:hint="eastAsia"/>
        </w:rPr>
        <w:t>ASTM E208-20 Test Method for Conducting Drop-Weight Test to Determine Nil-Ductility Transition Temperature of Ferritic Steels</w:t>
      </w:r>
    </w:p>
    <w:p w14:paraId="4CF697D3" w14:textId="77777777" w:rsidR="0029312F" w:rsidRDefault="00000000">
      <w:pPr>
        <w:pStyle w:val="afffffc"/>
        <w:numPr>
          <w:ilvl w:val="0"/>
          <w:numId w:val="33"/>
        </w:numPr>
        <w:ind w:firstLineChars="0"/>
        <w:rPr>
          <w:rFonts w:ascii="宋体" w:hAnsi="宋体" w:hint="eastAsia"/>
        </w:rPr>
      </w:pPr>
      <w:r>
        <w:rPr>
          <w:rFonts w:ascii="宋体" w:hAnsi="宋体" w:hint="eastAsia"/>
        </w:rPr>
        <w:t>ASTM E1820-18 Standard Test Method for Measurement of Fracture Toughness</w:t>
      </w:r>
    </w:p>
    <w:p w14:paraId="2B2B4854" w14:textId="77777777" w:rsidR="0029312F" w:rsidRDefault="00000000">
      <w:pPr>
        <w:pStyle w:val="afffffc"/>
        <w:numPr>
          <w:ilvl w:val="0"/>
          <w:numId w:val="33"/>
        </w:numPr>
        <w:ind w:firstLineChars="0"/>
        <w:rPr>
          <w:rFonts w:ascii="宋体" w:hAnsi="宋体" w:hint="eastAsia"/>
        </w:rPr>
      </w:pPr>
      <w:r>
        <w:rPr>
          <w:rFonts w:ascii="宋体" w:hAnsi="宋体" w:hint="eastAsia"/>
        </w:rPr>
        <w:t xml:space="preserve">ASTM E1921-18 Standard Test Method for Determination of Reference </w:t>
      </w:r>
      <w:proofErr w:type="gramStart"/>
      <w:r>
        <w:rPr>
          <w:rFonts w:ascii="宋体" w:hAnsi="宋体" w:hint="eastAsia"/>
        </w:rPr>
        <w:t>Temperature,</w:t>
      </w:r>
      <w:r>
        <w:rPr>
          <w:rFonts w:ascii="宋体" w:hAnsi="宋体" w:hint="eastAsia"/>
          <w:i/>
          <w:iCs/>
        </w:rPr>
        <w:t>T</w:t>
      </w:r>
      <w:r>
        <w:rPr>
          <w:rFonts w:ascii="宋体" w:hAnsi="宋体" w:hint="eastAsia"/>
          <w:i/>
          <w:iCs/>
          <w:vertAlign w:val="subscript"/>
        </w:rPr>
        <w:t>0</w:t>
      </w:r>
      <w:r>
        <w:rPr>
          <w:rFonts w:ascii="宋体" w:hAnsi="宋体" w:hint="eastAsia"/>
        </w:rPr>
        <w:t>,for</w:t>
      </w:r>
      <w:proofErr w:type="gramEnd"/>
      <w:r>
        <w:rPr>
          <w:rFonts w:ascii="宋体" w:hAnsi="宋体" w:hint="eastAsia"/>
        </w:rPr>
        <w:t xml:space="preserve"> Ferritic Steels in the Transition Range</w:t>
      </w:r>
    </w:p>
    <w:p w14:paraId="36828DB7" w14:textId="77777777" w:rsidR="0029312F" w:rsidRDefault="0029312F">
      <w:pPr>
        <w:pStyle w:val="afffffc"/>
        <w:ind w:left="420" w:firstLineChars="0" w:firstLine="0"/>
      </w:pPr>
    </w:p>
    <w:p w14:paraId="49837F18" w14:textId="77777777" w:rsidR="0029312F" w:rsidRDefault="0029312F">
      <w:pPr>
        <w:pStyle w:val="afffffc"/>
        <w:ind w:firstLine="420"/>
      </w:pPr>
    </w:p>
    <w:p w14:paraId="54AF9ED9" w14:textId="77777777" w:rsidR="0029312F" w:rsidRDefault="00000000">
      <w:pPr>
        <w:pStyle w:val="afffffc"/>
        <w:ind w:firstLineChars="0" w:firstLine="0"/>
        <w:jc w:val="center"/>
      </w:pPr>
      <w:bookmarkStart w:id="128" w:name="BookMark8"/>
      <w:r>
        <w:rPr>
          <w:noProof/>
        </w:rPr>
        <w:drawing>
          <wp:inline distT="0" distB="0" distL="0" distR="0" wp14:anchorId="0AB1501C" wp14:editId="4F5AEE01">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0"/>
                    <a:stretch>
                      <a:fillRect/>
                    </a:stretch>
                  </pic:blipFill>
                  <pic:spPr>
                    <a:xfrm>
                      <a:off x="0" y="0"/>
                      <a:ext cx="1485900" cy="317500"/>
                    </a:xfrm>
                    <a:prstGeom prst="rect">
                      <a:avLst/>
                    </a:prstGeom>
                  </pic:spPr>
                </pic:pic>
              </a:graphicData>
            </a:graphic>
          </wp:inline>
        </w:drawing>
      </w:r>
      <w:bookmarkEnd w:id="128"/>
    </w:p>
    <w:bookmarkEnd w:id="125"/>
    <w:p w14:paraId="706DD095" w14:textId="77777777" w:rsidR="0029312F" w:rsidRDefault="0029312F">
      <w:pPr>
        <w:pStyle w:val="afffffffffff9"/>
        <w:spacing w:after="120"/>
        <w:jc w:val="both"/>
        <w:rPr>
          <w:rFonts w:hint="eastAsia"/>
        </w:rPr>
      </w:pPr>
    </w:p>
    <w:sectPr w:rsidR="0029312F">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B46B2" w14:textId="77777777" w:rsidR="00077D11" w:rsidRDefault="00077D11">
      <w:pPr>
        <w:spacing w:line="240" w:lineRule="auto"/>
      </w:pPr>
      <w:r>
        <w:separator/>
      </w:r>
    </w:p>
  </w:endnote>
  <w:endnote w:type="continuationSeparator" w:id="0">
    <w:p w14:paraId="0FF7B9FC" w14:textId="77777777" w:rsidR="00077D11" w:rsidRDefault="00077D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2DAD9" w14:textId="77777777" w:rsidR="0029312F" w:rsidRDefault="00000000">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30732" w14:textId="77777777" w:rsidR="0029312F" w:rsidRDefault="0029312F">
    <w:pPr>
      <w:pStyle w:val="afff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37AC4" w14:textId="77777777" w:rsidR="0029312F" w:rsidRDefault="0029312F">
    <w:pPr>
      <w:pStyle w:val="affff4"/>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04439" w14:textId="77777777" w:rsidR="0029312F" w:rsidRDefault="00000000">
    <w:pPr>
      <w:pStyle w:val="afffff9"/>
    </w:pPr>
    <w:r>
      <w:fldChar w:fldCharType="begin"/>
    </w:r>
    <w:r>
      <w:instrText>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8ADF1" w14:textId="77777777" w:rsidR="00077D11" w:rsidRDefault="00077D11">
      <w:pPr>
        <w:spacing w:line="240" w:lineRule="auto"/>
      </w:pPr>
      <w:r>
        <w:separator/>
      </w:r>
    </w:p>
  </w:footnote>
  <w:footnote w:type="continuationSeparator" w:id="0">
    <w:p w14:paraId="3B2CCDF7" w14:textId="77777777" w:rsidR="00077D11" w:rsidRDefault="00077D1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C8B75" w14:textId="77777777" w:rsidR="0029312F" w:rsidRDefault="0029312F">
    <w:pPr>
      <w:pStyle w:val="afff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CE0F8" w14:textId="77777777" w:rsidR="0029312F" w:rsidRDefault="00000000">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93E4B" w14:textId="77777777" w:rsidR="0029312F" w:rsidRDefault="0029312F">
    <w:pPr>
      <w:pStyle w:val="affff6"/>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F6BDD" w14:textId="77777777" w:rsidR="0029312F" w:rsidRDefault="00000000">
    <w:pPr>
      <w:pStyle w:val="affff6"/>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T/CNEA XXXX—202X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A3DEE" w14:textId="479567A4" w:rsidR="0029312F" w:rsidRDefault="00000000">
    <w:pPr>
      <w:pStyle w:val="affffff1"/>
      <w:rPr>
        <w:rFonts w:hint="eastAsia"/>
      </w:rPr>
    </w:pPr>
    <w:r>
      <w:fldChar w:fldCharType="begin"/>
    </w:r>
    <w:r>
      <w:instrText xml:space="preserve"> STYLEREF  标准文件_文件编号  \* MERGEFORMAT </w:instrText>
    </w:r>
    <w:r>
      <w:fldChar w:fldCharType="separate"/>
    </w:r>
    <w:r w:rsidR="00B3554E">
      <w:rPr>
        <w:rFonts w:hint="eastAsia"/>
        <w:noProof/>
      </w:rPr>
      <w:t>T/CNEA XXXX—202X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82D6D5"/>
    <w:multiLevelType w:val="multilevel"/>
    <w:tmpl w:val="9F82D6D5"/>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02837933"/>
    <w:multiLevelType w:val="multilevel"/>
    <w:tmpl w:val="02837933"/>
    <w:lvl w:ilvl="0">
      <w:start w:val="1"/>
      <w:numFmt w:val="decimal"/>
      <w:pStyle w:val="a5"/>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6"/>
      <w:suff w:val="nothing"/>
      <w:lvlText w:val="%1%2.%3　"/>
      <w:lvlJc w:val="left"/>
      <w:pPr>
        <w:ind w:left="0" w:firstLine="0"/>
      </w:pPr>
    </w:lvl>
    <w:lvl w:ilvl="3">
      <w:start w:val="1"/>
      <w:numFmt w:val="decimal"/>
      <w:pStyle w:val="a7"/>
      <w:suff w:val="nothing"/>
      <w:lvlText w:val="%1%2.%3.%4　"/>
      <w:lvlJc w:val="left"/>
      <w:pPr>
        <w:ind w:left="0" w:firstLine="0"/>
      </w:pPr>
    </w:lvl>
    <w:lvl w:ilvl="4">
      <w:start w:val="1"/>
      <w:numFmt w:val="decimal"/>
      <w:pStyle w:val="a8"/>
      <w:suff w:val="nothing"/>
      <w:lvlText w:val="%1%2.%3.%4.%5　"/>
      <w:lvlJc w:val="left"/>
      <w:pPr>
        <w:ind w:left="0" w:firstLine="0"/>
      </w:pPr>
    </w:lvl>
    <w:lvl w:ilvl="5">
      <w:start w:val="1"/>
      <w:numFmt w:val="decimal"/>
      <w:pStyle w:val="a9"/>
      <w:suff w:val="nothing"/>
      <w:lvlText w:val="%1%2.%3.%4.%5.%6　"/>
      <w:lvlJc w:val="left"/>
      <w:pPr>
        <w:ind w:left="0" w:firstLine="0"/>
      </w:pPr>
    </w:lvl>
    <w:lvl w:ilvl="6">
      <w:start w:val="1"/>
      <w:numFmt w:val="decimal"/>
      <w:pStyle w:val="aa"/>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b"/>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c"/>
      <w:lvlText w:val="%1"/>
      <w:lvlJc w:val="left"/>
      <w:pPr>
        <w:ind w:left="425" w:hanging="425"/>
      </w:pPr>
      <w:rPr>
        <w:rFonts w:hint="eastAsia"/>
      </w:rPr>
    </w:lvl>
    <w:lvl w:ilvl="1">
      <w:start w:val="1"/>
      <w:numFmt w:val="decimal"/>
      <w:pStyle w:val="ad"/>
      <w:suff w:val="nothing"/>
      <w:lvlText w:val="%10.%2 "/>
      <w:lvlJc w:val="left"/>
      <w:pPr>
        <w:ind w:left="0" w:firstLine="0"/>
      </w:pPr>
      <w:rPr>
        <w:rFonts w:ascii="黑体" w:eastAsia="黑体" w:hAnsiTheme="minorHAnsi" w:hint="eastAsia"/>
        <w:b w:val="0"/>
        <w:i w:val="0"/>
        <w:sz w:val="21"/>
      </w:rPr>
    </w:lvl>
    <w:lvl w:ilvl="2">
      <w:start w:val="1"/>
      <w:numFmt w:val="decimal"/>
      <w:pStyle w:val="ae"/>
      <w:suff w:val="nothing"/>
      <w:lvlText w:val="%10.%2.%3 "/>
      <w:lvlJc w:val="left"/>
      <w:pPr>
        <w:ind w:left="0" w:firstLine="0"/>
      </w:pPr>
      <w:rPr>
        <w:rFonts w:ascii="黑体" w:eastAsia="黑体" w:hAnsiTheme="minorHAnsi" w:hint="eastAsia"/>
        <w:b w:val="0"/>
        <w:i w:val="0"/>
        <w:sz w:val="21"/>
      </w:rPr>
    </w:lvl>
    <w:lvl w:ilvl="3">
      <w:start w:val="1"/>
      <w:numFmt w:val="decimal"/>
      <w:pStyle w:val="af"/>
      <w:suff w:val="nothing"/>
      <w:lvlText w:val="%10.%2.%3.%4 "/>
      <w:lvlJc w:val="left"/>
      <w:pPr>
        <w:ind w:left="0" w:firstLine="0"/>
      </w:pPr>
      <w:rPr>
        <w:rFonts w:ascii="黑体" w:eastAsia="黑体" w:hAnsiTheme="minorHAnsi" w:hint="eastAsia"/>
        <w:b w:val="0"/>
        <w:i w:val="0"/>
        <w:sz w:val="21"/>
      </w:rPr>
    </w:lvl>
    <w:lvl w:ilvl="4">
      <w:start w:val="1"/>
      <w:numFmt w:val="decimal"/>
      <w:pStyle w:val="af0"/>
      <w:suff w:val="nothing"/>
      <w:lvlText w:val="%10.%2.%3.%4.%5 "/>
      <w:lvlJc w:val="left"/>
      <w:pPr>
        <w:ind w:left="0" w:firstLine="0"/>
      </w:pPr>
      <w:rPr>
        <w:rFonts w:ascii="黑体" w:eastAsia="黑体" w:hAnsiTheme="minorHAnsi" w:hint="eastAsia"/>
        <w:b w:val="0"/>
        <w:i w:val="0"/>
        <w:sz w:val="21"/>
      </w:rPr>
    </w:lvl>
    <w:lvl w:ilvl="5">
      <w:start w:val="1"/>
      <w:numFmt w:val="decimal"/>
      <w:pStyle w:val="af1"/>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f2"/>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f3"/>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0F3D3CA0"/>
    <w:multiLevelType w:val="multilevel"/>
    <w:tmpl w:val="0F3D3CA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1AD20F90"/>
    <w:multiLevelType w:val="multilevel"/>
    <w:tmpl w:val="1AD20F90"/>
    <w:lvl w:ilvl="0">
      <w:start w:val="1"/>
      <w:numFmt w:val="none"/>
      <w:pStyle w:val="af5"/>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AF15012"/>
    <w:multiLevelType w:val="multilevel"/>
    <w:tmpl w:val="1AF15012"/>
    <w:lvl w:ilvl="0">
      <w:start w:val="1"/>
      <w:numFmt w:val="upperLetter"/>
      <w:pStyle w:val="af6"/>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15:restartNumberingAfterBreak="0">
    <w:nsid w:val="1EAA1992"/>
    <w:multiLevelType w:val="multilevel"/>
    <w:tmpl w:val="1EAA1992"/>
    <w:lvl w:ilvl="0">
      <w:start w:val="1"/>
      <w:numFmt w:val="none"/>
      <w:pStyle w:val="af7"/>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Ansi="黑体" w:hint="eastAsia"/>
        <w:b w:val="0"/>
        <w:i w:val="0"/>
        <w:sz w:val="21"/>
      </w:rPr>
    </w:lvl>
    <w:lvl w:ilvl="4">
      <w:start w:val="1"/>
      <w:numFmt w:val="decimal"/>
      <w:pStyle w:val="afff5"/>
      <w:suff w:val="nothing"/>
      <w:lvlText w:val="%1%2.%3.%4.%5　"/>
      <w:lvlJc w:val="left"/>
      <w:pPr>
        <w:ind w:left="0" w:firstLine="0"/>
      </w:pPr>
      <w:rPr>
        <w:rFonts w:ascii="黑体" w:eastAsia="黑体" w:hAnsi="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377165735">
    <w:abstractNumId w:val="1"/>
  </w:num>
  <w:num w:numId="2" w16cid:durableId="9795265">
    <w:abstractNumId w:val="29"/>
  </w:num>
  <w:num w:numId="3" w16cid:durableId="1213347856">
    <w:abstractNumId w:val="6"/>
  </w:num>
  <w:num w:numId="4" w16cid:durableId="2043624872">
    <w:abstractNumId w:val="25"/>
  </w:num>
  <w:num w:numId="5" w16cid:durableId="1771511631">
    <w:abstractNumId w:val="20"/>
  </w:num>
  <w:num w:numId="6" w16cid:durableId="1359164032">
    <w:abstractNumId w:val="15"/>
  </w:num>
  <w:num w:numId="7" w16cid:durableId="742022262">
    <w:abstractNumId w:val="10"/>
  </w:num>
  <w:num w:numId="8" w16cid:durableId="1326935786">
    <w:abstractNumId w:val="4"/>
  </w:num>
  <w:num w:numId="9" w16cid:durableId="1435594209">
    <w:abstractNumId w:val="11"/>
  </w:num>
  <w:num w:numId="10" w16cid:durableId="1755734980">
    <w:abstractNumId w:val="18"/>
  </w:num>
  <w:num w:numId="11" w16cid:durableId="945574567">
    <w:abstractNumId w:val="27"/>
  </w:num>
  <w:num w:numId="12" w16cid:durableId="1564565385">
    <w:abstractNumId w:val="13"/>
  </w:num>
  <w:num w:numId="13" w16cid:durableId="532812854">
    <w:abstractNumId w:val="14"/>
  </w:num>
  <w:num w:numId="14" w16cid:durableId="2075809834">
    <w:abstractNumId w:val="9"/>
  </w:num>
  <w:num w:numId="15" w16cid:durableId="635068540">
    <w:abstractNumId w:val="21"/>
  </w:num>
  <w:num w:numId="16" w16cid:durableId="1381592027">
    <w:abstractNumId w:val="23"/>
  </w:num>
  <w:num w:numId="17" w16cid:durableId="2096897859">
    <w:abstractNumId w:val="19"/>
  </w:num>
  <w:num w:numId="18" w16cid:durableId="733163921">
    <w:abstractNumId w:val="31"/>
  </w:num>
  <w:num w:numId="19" w16cid:durableId="2010518535">
    <w:abstractNumId w:val="17"/>
  </w:num>
  <w:num w:numId="20" w16cid:durableId="1204518700">
    <w:abstractNumId w:val="2"/>
  </w:num>
  <w:num w:numId="21" w16cid:durableId="2137941071">
    <w:abstractNumId w:val="12"/>
  </w:num>
  <w:num w:numId="22" w16cid:durableId="487592900">
    <w:abstractNumId w:val="32"/>
  </w:num>
  <w:num w:numId="23" w16cid:durableId="150023694">
    <w:abstractNumId w:val="22"/>
  </w:num>
  <w:num w:numId="24" w16cid:durableId="2074616725">
    <w:abstractNumId w:val="7"/>
  </w:num>
  <w:num w:numId="25" w16cid:durableId="1736273646">
    <w:abstractNumId w:val="28"/>
  </w:num>
  <w:num w:numId="26" w16cid:durableId="1431393573">
    <w:abstractNumId w:val="30"/>
  </w:num>
  <w:num w:numId="27" w16cid:durableId="446848353">
    <w:abstractNumId w:val="3"/>
  </w:num>
  <w:num w:numId="28" w16cid:durableId="1879004746">
    <w:abstractNumId w:val="5"/>
  </w:num>
  <w:num w:numId="29" w16cid:durableId="1712724349">
    <w:abstractNumId w:val="16"/>
  </w:num>
  <w:num w:numId="30" w16cid:durableId="175779409">
    <w:abstractNumId w:val="26"/>
  </w:num>
  <w:num w:numId="31" w16cid:durableId="1127049501">
    <w:abstractNumId w:val="24"/>
  </w:num>
  <w:num w:numId="32" w16cid:durableId="2039499477">
    <w:abstractNumId w:val="0"/>
  </w:num>
  <w:num w:numId="33" w16cid:durableId="14364430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1" w:cryptProviderType="rsaAES" w:cryptAlgorithmClass="hash" w:cryptAlgorithmType="typeAny" w:cryptAlgorithmSid="14" w:cryptSpinCount="100000" w:hash="UP4Dpk7yE4QrC77udyPyin8EurKqyyUz9IjtmtCMuDdfNMVhPWA4MMd3b9/oRXHXVaKbT5mfTQMLIEMwe/13rg==" w:salt="2DJHsCJjHyoQ0DxL1yAkxw=="/>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A86"/>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77D11"/>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2801"/>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12F"/>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236"/>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6E43"/>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1A86"/>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5CB4"/>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602"/>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026C"/>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3151"/>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6B0"/>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54E"/>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4FFC"/>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4A1D"/>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27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105A"/>
    <w:rsid w:val="00FF3E7D"/>
    <w:rsid w:val="00FF5B99"/>
    <w:rsid w:val="00FF730C"/>
    <w:rsid w:val="00FF73F4"/>
    <w:rsid w:val="00FF7CE4"/>
    <w:rsid w:val="00FF7E39"/>
    <w:rsid w:val="029B4DBD"/>
    <w:rsid w:val="2D110454"/>
    <w:rsid w:val="40E1526C"/>
    <w:rsid w:val="48D9613A"/>
    <w:rsid w:val="497472FF"/>
    <w:rsid w:val="51E93F61"/>
    <w:rsid w:val="59B02B76"/>
    <w:rsid w:val="60BE276E"/>
    <w:rsid w:val="60D217B3"/>
    <w:rsid w:val="6EFA2466"/>
    <w:rsid w:val="6F161987"/>
    <w:rsid w:val="76866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24DAE5E"/>
  <w15:docId w15:val="{9C238A2B-D84D-4651-A4E1-C6296CD98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autoRedefine/>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affff1"/>
    <w:qFormat/>
    <w:pPr>
      <w:spacing w:after="120"/>
    </w:pPr>
  </w:style>
  <w:style w:type="paragraph" w:styleId="TOC5">
    <w:name w:val="toc 5"/>
    <w:basedOn w:val="afffb"/>
    <w:next w:val="afffb"/>
    <w:autoRedefine/>
    <w:uiPriority w:val="39"/>
    <w:unhideWhenUsed/>
    <w:qFormat/>
    <w:pPr>
      <w:ind w:left="839"/>
    </w:pPr>
    <w:rPr>
      <w:rFonts w:ascii="宋体"/>
    </w:rPr>
  </w:style>
  <w:style w:type="paragraph" w:styleId="TOC3">
    <w:name w:val="toc 3"/>
    <w:basedOn w:val="afffb"/>
    <w:next w:val="afffb"/>
    <w:autoRedefine/>
    <w:uiPriority w:val="39"/>
    <w:unhideWhenUsed/>
    <w:qFormat/>
    <w:pPr>
      <w:spacing w:line="300" w:lineRule="exact"/>
      <w:ind w:left="420"/>
    </w:pPr>
    <w:rPr>
      <w:rFonts w:ascii="宋体"/>
    </w:rPr>
  </w:style>
  <w:style w:type="paragraph" w:styleId="affff2">
    <w:name w:val="Balloon Text"/>
    <w:basedOn w:val="afffb"/>
    <w:link w:val="affff3"/>
    <w:uiPriority w:val="99"/>
    <w:semiHidden/>
    <w:unhideWhenUsed/>
    <w:qFormat/>
    <w:rPr>
      <w:sz w:val="18"/>
      <w:szCs w:val="18"/>
    </w:rPr>
  </w:style>
  <w:style w:type="paragraph" w:styleId="affff4">
    <w:name w:val="footer"/>
    <w:basedOn w:val="afffb"/>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sz w:val="18"/>
      <w:szCs w:val="18"/>
    </w:rPr>
  </w:style>
  <w:style w:type="paragraph" w:styleId="TOC1">
    <w:name w:val="toc 1"/>
    <w:basedOn w:val="afffb"/>
    <w:next w:val="afffb"/>
    <w:autoRedefine/>
    <w:uiPriority w:val="39"/>
    <w:unhideWhenUsed/>
    <w:qFormat/>
    <w:rPr>
      <w:rFonts w:ascii="宋体"/>
    </w:rPr>
  </w:style>
  <w:style w:type="paragraph" w:styleId="TOC4">
    <w:name w:val="toc 4"/>
    <w:basedOn w:val="afffb"/>
    <w:next w:val="afffb"/>
    <w:autoRedefine/>
    <w:uiPriority w:val="39"/>
    <w:unhideWhenUsed/>
    <w:qFormat/>
    <w:pPr>
      <w:tabs>
        <w:tab w:val="right" w:leader="dot" w:pos="9344"/>
      </w:tabs>
      <w:spacing w:line="300" w:lineRule="exact"/>
      <w:ind w:left="629"/>
    </w:pPr>
    <w:rPr>
      <w:rFonts w:ascii="宋体"/>
    </w:rPr>
  </w:style>
  <w:style w:type="paragraph" w:styleId="affff8">
    <w:name w:val="footnote text"/>
    <w:basedOn w:val="afffb"/>
    <w:next w:val="afffb"/>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autoRedefine/>
    <w:uiPriority w:val="39"/>
    <w:unhideWhenUsed/>
    <w:qFormat/>
    <w:pPr>
      <w:spacing w:line="300" w:lineRule="exact"/>
      <w:ind w:left="1049"/>
    </w:pPr>
    <w:rPr>
      <w:rFonts w:ascii="宋体"/>
    </w:rPr>
  </w:style>
  <w:style w:type="paragraph" w:styleId="affffa">
    <w:name w:val="table of figures"/>
    <w:basedOn w:val="afffb"/>
    <w:next w:val="afffb"/>
    <w:semiHidden/>
    <w:qFormat/>
    <w:pPr>
      <w:adjustRightInd/>
      <w:spacing w:line="240" w:lineRule="auto"/>
      <w:jc w:val="left"/>
    </w:pPr>
    <w:rPr>
      <w:szCs w:val="24"/>
    </w:rPr>
  </w:style>
  <w:style w:type="paragraph" w:styleId="TOC2">
    <w:name w:val="toc 2"/>
    <w:basedOn w:val="afffb"/>
    <w:next w:val="afffb"/>
    <w:autoRedefine/>
    <w:uiPriority w:val="39"/>
    <w:unhideWhenUsed/>
    <w:qFormat/>
    <w:pPr>
      <w:tabs>
        <w:tab w:val="right" w:leader="dot" w:pos="9344"/>
      </w:tabs>
      <w:spacing w:line="300" w:lineRule="exact"/>
      <w:ind w:left="210"/>
    </w:pPr>
    <w:rPr>
      <w:rFonts w:ascii="宋体"/>
    </w:rPr>
  </w:style>
  <w:style w:type="paragraph" w:styleId="affffb">
    <w:name w:val="Normal (Web)"/>
    <w:basedOn w:val="afffb"/>
    <w:uiPriority w:val="99"/>
    <w:semiHidden/>
    <w:unhideWhenUsed/>
    <w:qFormat/>
    <w:rPr>
      <w:sz w:val="24"/>
    </w:rPr>
  </w:style>
  <w:style w:type="paragraph" w:styleId="affffc">
    <w:name w:val="Title"/>
    <w:basedOn w:val="afffb"/>
    <w:link w:val="affffd"/>
    <w:qFormat/>
    <w:pPr>
      <w:spacing w:before="240" w:after="60"/>
      <w:jc w:val="center"/>
      <w:outlineLvl w:val="0"/>
    </w:pPr>
    <w:rPr>
      <w:rFonts w:ascii="Arial" w:hAnsi="Arial" w:cs="Arial"/>
      <w:b/>
      <w:bCs/>
      <w:sz w:val="32"/>
      <w:szCs w:val="32"/>
    </w:rPr>
  </w:style>
  <w:style w:type="table" w:styleId="affffe">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Strong"/>
    <w:uiPriority w:val="22"/>
    <w:qFormat/>
    <w:rPr>
      <w:b/>
      <w:bCs/>
    </w:rPr>
  </w:style>
  <w:style w:type="character" w:styleId="afffff0">
    <w:name w:val="page number"/>
    <w:qFormat/>
    <w:rPr>
      <w:rFonts w:ascii="宋体" w:eastAsia="宋体" w:hAnsi="Times New Roman"/>
      <w:sz w:val="18"/>
    </w:rPr>
  </w:style>
  <w:style w:type="character" w:styleId="afffff1">
    <w:name w:val="Emphasis"/>
    <w:uiPriority w:val="20"/>
    <w:qFormat/>
    <w:rPr>
      <w:i/>
      <w:iCs/>
    </w:rPr>
  </w:style>
  <w:style w:type="character" w:styleId="afffff2">
    <w:name w:val="Hyperlink"/>
    <w:uiPriority w:val="99"/>
    <w:qFormat/>
    <w:rPr>
      <w:rFonts w:ascii="宋体" w:eastAsia="宋体" w:hAnsi="Times New Roman"/>
      <w:color w:val="auto"/>
      <w:spacing w:val="0"/>
      <w:w w:val="100"/>
      <w:position w:val="0"/>
      <w:sz w:val="21"/>
      <w:u w:val="none"/>
      <w:vertAlign w:val="baseline"/>
    </w:rPr>
  </w:style>
  <w:style w:type="character" w:styleId="HTML">
    <w:name w:val="HTML Code"/>
    <w:basedOn w:val="afffc"/>
    <w:uiPriority w:val="99"/>
    <w:semiHidden/>
    <w:unhideWhenUsed/>
    <w:qFormat/>
    <w:rPr>
      <w:rFonts w:ascii="Courier New" w:hAnsi="Courier New"/>
      <w:sz w:val="20"/>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4">
    <w:name w:val="Quote"/>
    <w:basedOn w:val="afffb"/>
    <w:next w:val="afffb"/>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d">
    <w:name w:val="标题 字符"/>
    <w:link w:val="affffc"/>
    <w:qFormat/>
    <w:rPr>
      <w:rFonts w:ascii="Arial" w:hAnsi="Arial" w:cs="Arial"/>
      <w:b/>
      <w:bCs/>
      <w:kern w:val="2"/>
      <w:sz w:val="32"/>
      <w:szCs w:val="32"/>
    </w:rPr>
  </w:style>
  <w:style w:type="paragraph" w:customStyle="1" w:styleId="afffff6">
    <w:name w:val="标准标志"/>
    <w:next w:val="afffb"/>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7">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8">
    <w:name w:val="标准文件_页脚偶数页"/>
    <w:qFormat/>
    <w:pPr>
      <w:ind w:left="198"/>
    </w:pPr>
    <w:rPr>
      <w:rFonts w:ascii="宋体"/>
      <w:sz w:val="18"/>
    </w:rPr>
  </w:style>
  <w:style w:type="paragraph" w:customStyle="1" w:styleId="afffff9">
    <w:name w:val="标准文件_页脚奇数页"/>
    <w:qFormat/>
    <w:pPr>
      <w:ind w:right="227"/>
      <w:jc w:val="right"/>
    </w:pPr>
    <w:rPr>
      <w:rFonts w:ascii="宋体"/>
      <w:sz w:val="18"/>
    </w:rPr>
  </w:style>
  <w:style w:type="paragraph" w:customStyle="1" w:styleId="afffffa">
    <w:name w:val="标准书眉一"/>
    <w:qFormat/>
    <w:pPr>
      <w:jc w:val="both"/>
    </w:pPr>
  </w:style>
  <w:style w:type="paragraph" w:customStyle="1" w:styleId="ICS">
    <w:name w:val="标准文件_ICS"/>
    <w:basedOn w:val="afffb"/>
    <w:qFormat/>
    <w:pPr>
      <w:spacing w:line="0" w:lineRule="atLeast"/>
    </w:pPr>
    <w:rPr>
      <w:rFonts w:ascii="黑体" w:eastAsia="黑体" w:hAnsi="宋体"/>
    </w:rPr>
  </w:style>
  <w:style w:type="paragraph" w:customStyle="1" w:styleId="afffffb">
    <w:name w:val="标准文件_标准正文"/>
    <w:basedOn w:val="afffb"/>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b"/>
    <w:qFormat/>
    <w:pPr>
      <w:jc w:val="center"/>
    </w:pPr>
    <w:rPr>
      <w:rFonts w:ascii="黑体" w:eastAsia="黑体"/>
      <w:kern w:val="0"/>
      <w:sz w:val="44"/>
    </w:rPr>
  </w:style>
  <w:style w:type="paragraph" w:customStyle="1" w:styleId="affffff">
    <w:name w:val="标准文件_标准代替"/>
    <w:basedOn w:val="afffb"/>
    <w:next w:val="afffb"/>
    <w:qFormat/>
    <w:pPr>
      <w:spacing w:line="310" w:lineRule="exact"/>
      <w:jc w:val="right"/>
    </w:pPr>
    <w:rPr>
      <w:rFonts w:ascii="宋体" w:hAnsi="宋体"/>
      <w:kern w:val="0"/>
    </w:rPr>
  </w:style>
  <w:style w:type="paragraph" w:customStyle="1" w:styleId="affffff0">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b"/>
    <w:qFormat/>
    <w:pPr>
      <w:jc w:val="left"/>
    </w:pPr>
  </w:style>
  <w:style w:type="paragraph" w:customStyle="1" w:styleId="affffff3">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5">
    <w:name w:val="标准文件_参考文献条目"/>
    <w:qFormat/>
    <w:pPr>
      <w:numPr>
        <w:numId w:val="1"/>
      </w:numPr>
    </w:pPr>
    <w:rPr>
      <w:rFonts w:ascii="宋体"/>
    </w:rPr>
  </w:style>
  <w:style w:type="paragraph" w:customStyle="1" w:styleId="afff4">
    <w:name w:val="标准文件_二级条标题"/>
    <w:next w:val="afffffc"/>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4">
    <w:name w:val="标准文件_发布"/>
    <w:qFormat/>
    <w:rPr>
      <w:rFonts w:ascii="黑体" w:eastAsia="黑体"/>
      <w:spacing w:val="0"/>
      <w:w w:val="100"/>
      <w:position w:val="3"/>
      <w:sz w:val="28"/>
    </w:rPr>
  </w:style>
  <w:style w:type="paragraph" w:customStyle="1" w:styleId="af3">
    <w:name w:val="标准文件_方框数字列项"/>
    <w:basedOn w:val="afffffc"/>
    <w:qFormat/>
    <w:pPr>
      <w:numPr>
        <w:numId w:val="3"/>
      </w:numPr>
      <w:ind w:firstLineChars="0" w:firstLine="0"/>
    </w:pPr>
  </w:style>
  <w:style w:type="paragraph" w:customStyle="1" w:styleId="affffff5">
    <w:name w:val="标准文件_封面标准编号"/>
    <w:basedOn w:val="afffb"/>
    <w:next w:val="affffff"/>
    <w:qFormat/>
    <w:pPr>
      <w:spacing w:line="310" w:lineRule="exact"/>
      <w:jc w:val="right"/>
    </w:pPr>
    <w:rPr>
      <w:rFonts w:ascii="黑体" w:eastAsia="黑体"/>
      <w:kern w:val="0"/>
      <w:sz w:val="28"/>
    </w:rPr>
  </w:style>
  <w:style w:type="paragraph" w:customStyle="1" w:styleId="affffff6">
    <w:name w:val="标准文件_封面标准分类号"/>
    <w:basedOn w:val="afffb"/>
    <w:qFormat/>
    <w:rPr>
      <w:rFonts w:ascii="黑体" w:eastAsia="黑体"/>
      <w:b/>
      <w:kern w:val="0"/>
      <w:sz w:val="28"/>
    </w:rPr>
  </w:style>
  <w:style w:type="paragraph" w:customStyle="1" w:styleId="affffff7">
    <w:name w:val="标准文件_封面标准名称"/>
    <w:basedOn w:val="afffb"/>
    <w:qFormat/>
    <w:pPr>
      <w:spacing w:line="240" w:lineRule="auto"/>
      <w:jc w:val="center"/>
    </w:pPr>
    <w:rPr>
      <w:rFonts w:ascii="黑体" w:eastAsia="黑体"/>
      <w:kern w:val="0"/>
      <w:sz w:val="52"/>
    </w:rPr>
  </w:style>
  <w:style w:type="paragraph" w:customStyle="1" w:styleId="affffff8">
    <w:name w:val="标准文件_封面标准英文名称"/>
    <w:basedOn w:val="afffb"/>
    <w:qFormat/>
    <w:pPr>
      <w:spacing w:line="240" w:lineRule="auto"/>
      <w:jc w:val="center"/>
    </w:pPr>
    <w:rPr>
      <w:rFonts w:ascii="黑体" w:eastAsia="黑体"/>
      <w:b/>
      <w:sz w:val="28"/>
    </w:rPr>
  </w:style>
  <w:style w:type="paragraph" w:customStyle="1" w:styleId="affffff9">
    <w:name w:val="标准文件_封面发布日期"/>
    <w:basedOn w:val="afffb"/>
    <w:qFormat/>
    <w:pPr>
      <w:spacing w:line="310" w:lineRule="exact"/>
    </w:pPr>
    <w:rPr>
      <w:rFonts w:ascii="黑体" w:eastAsia="黑体"/>
      <w:kern w:val="0"/>
      <w:sz w:val="28"/>
    </w:rPr>
  </w:style>
  <w:style w:type="paragraph" w:customStyle="1" w:styleId="affffffa">
    <w:name w:val="标准文件_封面密级"/>
    <w:basedOn w:val="afffb"/>
    <w:qFormat/>
    <w:rPr>
      <w:rFonts w:eastAsia="黑体"/>
      <w:sz w:val="32"/>
    </w:rPr>
  </w:style>
  <w:style w:type="paragraph" w:customStyle="1" w:styleId="affffffb">
    <w:name w:val="标准文件_封面实施日期"/>
    <w:basedOn w:val="afffb"/>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c"/>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5">
    <w:name w:val="标准文件_附录表标题"/>
    <w:next w:val="afffffc"/>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a">
    <w:name w:val="标准文件_附录一级条标题"/>
    <w:next w:val="afffffc"/>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b">
    <w:name w:val="标准文件_附录二级条标题"/>
    <w:basedOn w:val="affa"/>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c"/>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d">
    <w:name w:val="标准文件_附录四级条标题"/>
    <w:next w:val="afffffc"/>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f">
    <w:name w:val="标准文件_附录图标题"/>
    <w:next w:val="afffffc"/>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e">
    <w:name w:val="标准文件_附录五级条标题"/>
    <w:next w:val="afffffc"/>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6">
    <w:name w:val="标准文件_附录英文标识"/>
    <w:next w:val="affff0"/>
    <w:qFormat/>
    <w:pPr>
      <w:numPr>
        <w:numId w:val="7"/>
      </w:numPr>
      <w:tabs>
        <w:tab w:val="left" w:pos="6406"/>
      </w:tabs>
      <w:spacing w:before="220" w:after="320"/>
      <w:jc w:val="center"/>
      <w:outlineLvl w:val="0"/>
    </w:pPr>
    <w:rPr>
      <w:rFonts w:ascii="黑体" w:eastAsia="黑体"/>
      <w:sz w:val="21"/>
    </w:rPr>
  </w:style>
  <w:style w:type="character" w:customStyle="1" w:styleId="affff1">
    <w:name w:val="正文文本 字符"/>
    <w:link w:val="affff0"/>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c">
    <w:name w:val="标准文件_前言、引言标题"/>
    <w:next w:val="afffb"/>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0">
    <w:name w:val="标准文件_目次、标准名称标题"/>
    <w:basedOn w:val="ac"/>
    <w:next w:val="afffffc"/>
    <w:qFormat/>
    <w:pPr>
      <w:spacing w:line="460" w:lineRule="exact"/>
      <w:ind w:left="0" w:firstLine="0"/>
    </w:pPr>
  </w:style>
  <w:style w:type="paragraph" w:customStyle="1" w:styleId="afffffff1">
    <w:name w:val="标准文件_目录标题"/>
    <w:basedOn w:val="afffb"/>
    <w:qFormat/>
    <w:pPr>
      <w:spacing w:before="480" w:afterLines="150" w:after="150" w:line="240" w:lineRule="auto"/>
      <w:jc w:val="center"/>
    </w:pPr>
    <w:rPr>
      <w:rFonts w:ascii="黑体" w:eastAsia="黑体"/>
      <w:sz w:val="32"/>
    </w:rPr>
  </w:style>
  <w:style w:type="paragraph" w:customStyle="1" w:styleId="af7">
    <w:name w:val="标准文件_破折号列项"/>
    <w:qFormat/>
    <w:pPr>
      <w:numPr>
        <w:numId w:val="9"/>
      </w:numPr>
      <w:adjustRightInd w:val="0"/>
      <w:snapToGrid w:val="0"/>
      <w:ind w:firstLineChars="200" w:firstLine="200"/>
    </w:pPr>
    <w:rPr>
      <w:sz w:val="21"/>
    </w:rPr>
  </w:style>
  <w:style w:type="paragraph" w:customStyle="1" w:styleId="aff2">
    <w:name w:val="标准文件_破折号列项（二级）"/>
    <w:basedOn w:val="af7"/>
    <w:qFormat/>
    <w:pPr>
      <w:numPr>
        <w:numId w:val="10"/>
      </w:numPr>
    </w:pPr>
  </w:style>
  <w:style w:type="paragraph" w:customStyle="1" w:styleId="afff5">
    <w:name w:val="标准文件_三级条标题"/>
    <w:basedOn w:val="afff4"/>
    <w:next w:val="afffffc"/>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2">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c"/>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9">
    <w:name w:val="脚注文本 字符"/>
    <w:link w:val="affff8"/>
    <w:semiHidden/>
    <w:qFormat/>
    <w:rPr>
      <w:rFonts w:ascii="宋体"/>
      <w:kern w:val="2"/>
      <w:sz w:val="18"/>
      <w:szCs w:val="18"/>
    </w:rPr>
  </w:style>
  <w:style w:type="paragraph" w:customStyle="1" w:styleId="afffffff3">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c"/>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2">
    <w:name w:val="标准文件_章标题"/>
    <w:next w:val="afffffc"/>
    <w:qFormat/>
    <w:pPr>
      <w:numPr>
        <w:ilvl w:val="1"/>
        <w:numId w:val="2"/>
      </w:numPr>
      <w:spacing w:beforeLines="100" w:before="100" w:afterLines="100" w:after="100"/>
      <w:jc w:val="both"/>
      <w:outlineLvl w:val="0"/>
    </w:pPr>
    <w:rPr>
      <w:rFonts w:ascii="黑体" w:eastAsia="黑体"/>
      <w:sz w:val="21"/>
    </w:rPr>
  </w:style>
  <w:style w:type="paragraph" w:customStyle="1" w:styleId="afff3">
    <w:name w:val="标准文件_一级条标题"/>
    <w:basedOn w:val="afff2"/>
    <w:next w:val="afffffc"/>
    <w:qFormat/>
    <w:pPr>
      <w:numPr>
        <w:ilvl w:val="2"/>
      </w:numPr>
      <w:spacing w:beforeLines="50" w:before="50" w:afterLines="50" w:after="50"/>
      <w:outlineLvl w:val="1"/>
    </w:pPr>
  </w:style>
  <w:style w:type="paragraph" w:customStyle="1" w:styleId="afffffff5">
    <w:name w:val="标准文件_一致程度"/>
    <w:basedOn w:val="afffb"/>
    <w:qFormat/>
    <w:pPr>
      <w:spacing w:line="440" w:lineRule="exact"/>
      <w:jc w:val="center"/>
    </w:pPr>
    <w:rPr>
      <w:sz w:val="28"/>
    </w:rPr>
  </w:style>
  <w:style w:type="paragraph" w:customStyle="1" w:styleId="afffffff6">
    <w:name w:val="标准文件_引言标题"/>
    <w:next w:val="afffb"/>
    <w:qFormat/>
    <w:pPr>
      <w:shd w:val="clear" w:color="FFFFFF" w:fill="FFFFFF"/>
      <w:spacing w:before="540" w:after="600"/>
      <w:jc w:val="center"/>
      <w:outlineLvl w:val="0"/>
    </w:pPr>
    <w:rPr>
      <w:rFonts w:ascii="黑体" w:eastAsia="黑体"/>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jc w:val="both"/>
    </w:pPr>
    <w:rPr>
      <w:rFonts w:ascii="宋体"/>
      <w:sz w:val="21"/>
    </w:rPr>
  </w:style>
  <w:style w:type="paragraph" w:customStyle="1" w:styleId="af5">
    <w:name w:val="标准文件_英文注："/>
    <w:basedOn w:val="afffb"/>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c"/>
    <w:qFormat/>
    <w:pPr>
      <w:numPr>
        <w:numId w:val="16"/>
      </w:numPr>
      <w:tabs>
        <w:tab w:val="left" w:pos="0"/>
      </w:tabs>
      <w:spacing w:beforeLines="50" w:before="50" w:afterLines="50" w:after="50"/>
      <w:jc w:val="center"/>
    </w:pPr>
    <w:rPr>
      <w:rFonts w:ascii="黑体" w:eastAsia="黑体"/>
      <w:sz w:val="21"/>
    </w:rPr>
  </w:style>
  <w:style w:type="paragraph" w:customStyle="1" w:styleId="afffffff8">
    <w:name w:val="标准文件_正文公式"/>
    <w:basedOn w:val="afffb"/>
    <w:next w:val="afffffb"/>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c"/>
    <w:qFormat/>
    <w:pPr>
      <w:numPr>
        <w:numId w:val="17"/>
      </w:numPr>
      <w:spacing w:beforeLines="50" w:before="50" w:afterLines="50" w:after="50"/>
      <w:jc w:val="center"/>
    </w:pPr>
    <w:rPr>
      <w:rFonts w:ascii="黑体" w:eastAsia="黑体"/>
      <w:sz w:val="21"/>
    </w:rPr>
  </w:style>
  <w:style w:type="paragraph" w:customStyle="1" w:styleId="afff9">
    <w:name w:val="标准文件_正文英文表标题"/>
    <w:next w:val="afffffc"/>
    <w:qFormat/>
    <w:pPr>
      <w:numPr>
        <w:numId w:val="18"/>
      </w:numPr>
      <w:jc w:val="center"/>
    </w:pPr>
    <w:rPr>
      <w:rFonts w:ascii="黑体" w:eastAsia="黑体"/>
      <w:sz w:val="21"/>
    </w:rPr>
  </w:style>
  <w:style w:type="paragraph" w:customStyle="1" w:styleId="aff1">
    <w:name w:val="标准文件_正文英文图标题"/>
    <w:next w:val="afffffc"/>
    <w:qFormat/>
    <w:pPr>
      <w:numPr>
        <w:numId w:val="19"/>
      </w:numPr>
      <w:jc w:val="center"/>
    </w:pPr>
    <w:rPr>
      <w:rFonts w:ascii="黑体" w:eastAsia="黑体"/>
      <w:sz w:val="21"/>
    </w:rPr>
  </w:style>
  <w:style w:type="paragraph" w:customStyle="1" w:styleId="afd">
    <w:name w:val="标准文件_编号列项（三级）"/>
    <w:qFormat/>
    <w:pPr>
      <w:numPr>
        <w:ilvl w:val="2"/>
        <w:numId w:val="13"/>
      </w:numPr>
    </w:pPr>
    <w:rPr>
      <w:rFonts w:ascii="宋体"/>
      <w:sz w:val="21"/>
    </w:rPr>
  </w:style>
  <w:style w:type="paragraph" w:customStyle="1" w:styleId="a7">
    <w:name w:val="二级无标题条"/>
    <w:basedOn w:val="afffb"/>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b/>
      <w:w w:val="135"/>
      <w:sz w:val="36"/>
    </w:rPr>
  </w:style>
  <w:style w:type="paragraph" w:customStyle="1" w:styleId="afffffffa">
    <w:name w:val="发布日期"/>
    <w:qFormat/>
    <w:pPr>
      <w:framePr w:w="4000" w:h="473" w:hRule="exact" w:hSpace="180" w:vSpace="180" w:wrap="around" w:hAnchor="margin" w:y="13511" w:anchorLock="1"/>
    </w:pPr>
    <w:rPr>
      <w:rFonts w:eastAsia="黑体"/>
      <w:sz w:val="28"/>
    </w:rPr>
  </w:style>
  <w:style w:type="paragraph" w:customStyle="1" w:styleId="afffffffb">
    <w:name w:val="封面标准代替信息"/>
    <w:basedOn w:val="afffb"/>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d">
    <w:name w:val="封面标准文稿编辑信息"/>
    <w:qFormat/>
    <w:pPr>
      <w:spacing w:before="180" w:line="180" w:lineRule="exact"/>
      <w:jc w:val="center"/>
    </w:pPr>
    <w:rPr>
      <w:rFonts w:ascii="宋体"/>
      <w:sz w:val="21"/>
    </w:rPr>
  </w:style>
  <w:style w:type="paragraph" w:customStyle="1" w:styleId="afffffffe">
    <w:name w:val="封面标准文稿类别"/>
    <w:qFormat/>
    <w:pPr>
      <w:spacing w:before="440" w:line="400" w:lineRule="exact"/>
      <w:jc w:val="center"/>
    </w:pPr>
    <w:rPr>
      <w:rFonts w:ascii="宋体"/>
      <w:sz w:val="24"/>
    </w:rPr>
  </w:style>
  <w:style w:type="paragraph" w:customStyle="1" w:styleId="affffffff">
    <w:name w:val="封面标准英文名称"/>
    <w:qFormat/>
    <w:pPr>
      <w:widowControl w:val="0"/>
      <w:spacing w:line="360" w:lineRule="exact"/>
      <w:jc w:val="center"/>
    </w:pPr>
    <w:rPr>
      <w:sz w:val="28"/>
    </w:rPr>
  </w:style>
  <w:style w:type="paragraph" w:customStyle="1" w:styleId="affffffff0">
    <w:name w:val="封面一致性程度标识"/>
    <w:qFormat/>
    <w:pPr>
      <w:spacing w:before="440" w:line="440" w:lineRule="exact"/>
      <w:jc w:val="center"/>
    </w:pPr>
    <w:rPr>
      <w:sz w:val="28"/>
    </w:rPr>
  </w:style>
  <w:style w:type="paragraph" w:customStyle="1" w:styleId="affffffff1">
    <w:name w:val="封面正文"/>
    <w:qFormat/>
    <w:pPr>
      <w:jc w:val="both"/>
    </w:pPr>
  </w:style>
  <w:style w:type="paragraph" w:customStyle="1" w:styleId="affffffff2">
    <w:name w:val="附录二级无标题条"/>
    <w:basedOn w:val="afffb"/>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8">
    <w:name w:val="标准文件_一级项"/>
    <w:qFormat/>
    <w:pPr>
      <w:numPr>
        <w:numId w:val="21"/>
      </w:numPr>
    </w:pPr>
    <w:rPr>
      <w:rFonts w:ascii="宋体"/>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b"/>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sz w:val="21"/>
    </w:rPr>
  </w:style>
  <w:style w:type="paragraph" w:customStyle="1" w:styleId="210">
    <w:name w:val="目录 21"/>
    <w:basedOn w:val="afffb"/>
    <w:next w:val="afffb"/>
    <w:autoRedefine/>
    <w:semiHidden/>
    <w:qFormat/>
    <w:pPr>
      <w:adjustRightInd/>
      <w:spacing w:line="240" w:lineRule="auto"/>
      <w:jc w:val="left"/>
    </w:pPr>
    <w:rPr>
      <w:bCs/>
      <w:iCs/>
    </w:rPr>
  </w:style>
  <w:style w:type="paragraph" w:customStyle="1" w:styleId="31">
    <w:name w:val="目录 31"/>
    <w:basedOn w:val="afffb"/>
    <w:next w:val="afffb"/>
    <w:autoRedefine/>
    <w:semiHidden/>
    <w:qFormat/>
    <w:pPr>
      <w:spacing w:line="240" w:lineRule="auto"/>
    </w:pPr>
    <w:rPr>
      <w:rFonts w:ascii="宋体" w:hAnsi="宋体"/>
      <w:iCs/>
    </w:rPr>
  </w:style>
  <w:style w:type="paragraph" w:customStyle="1" w:styleId="41">
    <w:name w:val="目录 41"/>
    <w:basedOn w:val="afffb"/>
    <w:next w:val="afffb"/>
    <w:autoRedefine/>
    <w:semiHidden/>
    <w:qFormat/>
    <w:pPr>
      <w:adjustRightInd/>
      <w:spacing w:line="240" w:lineRule="auto"/>
      <w:jc w:val="left"/>
    </w:pPr>
  </w:style>
  <w:style w:type="paragraph" w:customStyle="1" w:styleId="51">
    <w:name w:val="目录 51"/>
    <w:basedOn w:val="afffb"/>
    <w:next w:val="afffb"/>
    <w:autoRedefine/>
    <w:semiHidden/>
    <w:qFormat/>
    <w:pPr>
      <w:spacing w:line="240" w:lineRule="auto"/>
    </w:pPr>
    <w:rPr>
      <w:rFonts w:ascii="宋体" w:hAnsi="宋体"/>
    </w:rPr>
  </w:style>
  <w:style w:type="paragraph" w:customStyle="1" w:styleId="61">
    <w:name w:val="目录 61"/>
    <w:basedOn w:val="afffb"/>
    <w:next w:val="afffb"/>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e">
    <w:name w:val="其他标准称谓"/>
    <w:qFormat/>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sz w:val="32"/>
    </w:rPr>
  </w:style>
  <w:style w:type="paragraph" w:customStyle="1" w:styleId="a8">
    <w:name w:val="三级无标题条"/>
    <w:basedOn w:val="afffb"/>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9">
    <w:name w:val="四级无标题条"/>
    <w:basedOn w:val="afffb"/>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eastAsia="黑体"/>
      <w:sz w:val="21"/>
    </w:rPr>
  </w:style>
  <w:style w:type="paragraph" w:customStyle="1" w:styleId="afffffffff2">
    <w:name w:val="无标题条"/>
    <w:next w:val="afffffc"/>
    <w:qFormat/>
    <w:pPr>
      <w:jc w:val="both"/>
    </w:pPr>
    <w:rPr>
      <w:rFonts w:ascii="宋体" w:hAnsi="宋体"/>
      <w:sz w:val="21"/>
    </w:rPr>
  </w:style>
  <w:style w:type="paragraph" w:customStyle="1" w:styleId="aa">
    <w:name w:val="五级无标题条"/>
    <w:basedOn w:val="afffb"/>
    <w:qFormat/>
    <w:pPr>
      <w:numPr>
        <w:ilvl w:val="6"/>
        <w:numId w:val="20"/>
      </w:numPr>
      <w:adjustRightInd/>
    </w:pPr>
    <w:rPr>
      <w:szCs w:val="24"/>
    </w:rPr>
  </w:style>
  <w:style w:type="paragraph" w:customStyle="1" w:styleId="a6">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f3"/>
    <w:qFormat/>
    <w:pPr>
      <w:spacing w:beforeLines="0" w:before="0" w:afterLines="0" w:after="0"/>
      <w:outlineLvl w:val="9"/>
    </w:pPr>
    <w:rPr>
      <w:rFonts w:ascii="宋体" w:eastAsia="宋体"/>
    </w:rPr>
  </w:style>
  <w:style w:type="paragraph" w:customStyle="1" w:styleId="afffffffff6">
    <w:name w:val="标准文件_五级无标题"/>
    <w:basedOn w:val="afff7"/>
    <w:qFormat/>
    <w:pPr>
      <w:spacing w:beforeLines="0" w:before="0" w:afterLines="0" w:after="0"/>
      <w:outlineLvl w:val="9"/>
    </w:pPr>
    <w:rPr>
      <w:rFonts w:ascii="宋体" w:eastAsia="宋体"/>
    </w:rPr>
  </w:style>
  <w:style w:type="paragraph" w:customStyle="1" w:styleId="afffffffff7">
    <w:name w:val="标准文件_三级无标题"/>
    <w:basedOn w:val="afff5"/>
    <w:qFormat/>
    <w:pPr>
      <w:spacing w:beforeLines="0" w:before="0" w:afterLines="0" w:after="0"/>
      <w:outlineLvl w:val="9"/>
    </w:pPr>
    <w:rPr>
      <w:rFonts w:ascii="宋体" w:eastAsia="宋体"/>
    </w:rPr>
  </w:style>
  <w:style w:type="paragraph" w:customStyle="1" w:styleId="afffffffff8">
    <w:name w:val="标准文件_二级无标题"/>
    <w:basedOn w:val="afff4"/>
    <w:qFormat/>
    <w:pPr>
      <w:spacing w:beforeLines="0" w:before="0" w:afterLines="0" w:after="0"/>
      <w:outlineLvl w:val="9"/>
    </w:pPr>
    <w:rPr>
      <w:rFonts w:ascii="宋体" w:eastAsia="宋体"/>
    </w:rPr>
  </w:style>
  <w:style w:type="paragraph" w:customStyle="1" w:styleId="afffffffff9">
    <w:name w:val="标准_四级无标题"/>
    <w:basedOn w:val="afff6"/>
    <w:next w:val="afffffc"/>
    <w:qFormat/>
    <w:rPr>
      <w:rFonts w:eastAsia="宋体"/>
    </w:rPr>
  </w:style>
  <w:style w:type="paragraph" w:customStyle="1" w:styleId="afffffffffa">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c"/>
    <w:qFormat/>
    <w:pPr>
      <w:numPr>
        <w:numId w:val="23"/>
      </w:numPr>
      <w:ind w:firstLineChars="0" w:firstLine="0"/>
    </w:pPr>
    <w:rPr>
      <w:rFonts w:cs="Arial"/>
      <w:szCs w:val="28"/>
    </w:rPr>
  </w:style>
  <w:style w:type="paragraph" w:customStyle="1" w:styleId="af4">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9"/>
    <w:qFormat/>
    <w:pPr>
      <w:numPr>
        <w:numId w:val="0"/>
      </w:numPr>
      <w:spacing w:after="280"/>
      <w:outlineLvl w:val="9"/>
    </w:pPr>
  </w:style>
  <w:style w:type="paragraph" w:customStyle="1" w:styleId="afffffffffc">
    <w:name w:val="标准文件_二级项"/>
    <w:qFormat/>
    <w:rPr>
      <w:rFonts w:ascii="宋体"/>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c"/>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jc w:val="both"/>
    </w:pPr>
    <w:rPr>
      <w:rFonts w:ascii="宋体"/>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8">
    <w:name w:val="标准文件_注："/>
    <w:next w:val="afffffc"/>
    <w:qFormat/>
    <w:pPr>
      <w:widowControl w:val="0"/>
      <w:numPr>
        <w:numId w:val="26"/>
      </w:numPr>
      <w:autoSpaceDE w:val="0"/>
      <w:autoSpaceDN w:val="0"/>
      <w:jc w:val="both"/>
    </w:pPr>
    <w:rPr>
      <w:rFonts w:ascii="宋体"/>
      <w:sz w:val="18"/>
      <w:szCs w:val="18"/>
    </w:rPr>
  </w:style>
  <w:style w:type="paragraph" w:customStyle="1" w:styleId="ab">
    <w:name w:val="标准文件_注×："/>
    <w:qFormat/>
    <w:pPr>
      <w:widowControl w:val="0"/>
      <w:numPr>
        <w:numId w:val="27"/>
      </w:numPr>
      <w:autoSpaceDE w:val="0"/>
      <w:autoSpaceDN w:val="0"/>
      <w:jc w:val="both"/>
    </w:pPr>
    <w:rPr>
      <w:rFonts w:ascii="宋体"/>
      <w:sz w:val="18"/>
      <w:szCs w:val="18"/>
    </w:rPr>
  </w:style>
  <w:style w:type="paragraph" w:customStyle="1" w:styleId="af2">
    <w:name w:val="标准文件_示例："/>
    <w:next w:val="affffffffff1"/>
    <w:qFormat/>
    <w:pPr>
      <w:widowControl w:val="0"/>
      <w:numPr>
        <w:numId w:val="28"/>
      </w:numPr>
      <w:jc w:val="both"/>
    </w:pPr>
    <w:rPr>
      <w:rFonts w:ascii="宋体"/>
      <w:sz w:val="18"/>
      <w:szCs w:val="18"/>
    </w:rPr>
  </w:style>
  <w:style w:type="paragraph" w:customStyle="1" w:styleId="affffffffff1">
    <w:name w:val="标准文件_示例内容"/>
    <w:basedOn w:val="afffffc"/>
    <w:qFormat/>
    <w:pPr>
      <w:ind w:firstLine="420"/>
    </w:pPr>
    <w:rPr>
      <w:sz w:val="18"/>
    </w:rPr>
  </w:style>
  <w:style w:type="paragraph" w:customStyle="1" w:styleId="aff0">
    <w:name w:val="标准文件_示例×："/>
    <w:basedOn w:val="afffb"/>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Times New Roman"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c"/>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style>
  <w:style w:type="paragraph" w:customStyle="1" w:styleId="20">
    <w:name w:val="标准文件_一级项2"/>
    <w:basedOn w:val="afffffc"/>
    <w:qFormat/>
    <w:pPr>
      <w:numPr>
        <w:numId w:val="31"/>
      </w:numPr>
      <w:spacing w:line="300" w:lineRule="exact"/>
      <w:ind w:firstLineChars="0"/>
    </w:p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c"/>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uto"/>
      <w:spacing w:before="57"/>
    </w:pPr>
    <w:rPr>
      <w:sz w:val="21"/>
    </w:rPr>
  </w:style>
  <w:style w:type="paragraph" w:customStyle="1" w:styleId="affffffffffb">
    <w:name w:val="标准文件_文件名称"/>
    <w:basedOn w:val="afffffc"/>
    <w:next w:val="afffffc"/>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d">
    <w:name w:val="标准文件_引言一级条标题"/>
    <w:basedOn w:val="afffffc"/>
    <w:next w:val="afffffc"/>
    <w:qFormat/>
    <w:pPr>
      <w:numPr>
        <w:ilvl w:val="1"/>
        <w:numId w:val="8"/>
      </w:numPr>
      <w:spacing w:beforeLines="50" w:before="50" w:afterLines="50" w:after="50"/>
      <w:ind w:firstLineChars="0"/>
    </w:pPr>
    <w:rPr>
      <w:rFonts w:ascii="黑体" w:eastAsia="黑体"/>
    </w:rPr>
  </w:style>
  <w:style w:type="paragraph" w:customStyle="1" w:styleId="ae">
    <w:name w:val="标准文件_引言二级条标题"/>
    <w:basedOn w:val="afffffc"/>
    <w:next w:val="afffffc"/>
    <w:qFormat/>
    <w:pPr>
      <w:numPr>
        <w:ilvl w:val="2"/>
        <w:numId w:val="8"/>
      </w:numPr>
      <w:spacing w:beforeLines="50" w:before="50" w:afterLines="50" w:after="50"/>
      <w:ind w:firstLineChars="0"/>
    </w:pPr>
    <w:rPr>
      <w:rFonts w:ascii="黑体" w:eastAsia="黑体"/>
    </w:rPr>
  </w:style>
  <w:style w:type="paragraph" w:customStyle="1" w:styleId="af">
    <w:name w:val="标准文件_引言三级条标题"/>
    <w:basedOn w:val="afffffc"/>
    <w:next w:val="afffffc"/>
    <w:qFormat/>
    <w:pPr>
      <w:numPr>
        <w:ilvl w:val="3"/>
        <w:numId w:val="8"/>
      </w:numPr>
      <w:spacing w:beforeLines="50" w:before="50" w:afterLines="50" w:after="50"/>
      <w:ind w:firstLineChars="0"/>
    </w:pPr>
    <w:rPr>
      <w:rFonts w:ascii="黑体" w:eastAsia="黑体"/>
    </w:rPr>
  </w:style>
  <w:style w:type="paragraph" w:customStyle="1" w:styleId="af0">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f1">
    <w:name w:val="标准文件_引言五级条标题"/>
    <w:basedOn w:val="afffffc"/>
    <w:next w:val="afffffc"/>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Times New Roman"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d"/>
    <w:next w:val="afffffc"/>
    <w:qFormat/>
    <w:pPr>
      <w:spacing w:beforeLines="0" w:before="0" w:afterLines="0" w:after="0" w:line="276" w:lineRule="auto"/>
    </w:pPr>
    <w:rPr>
      <w:rFonts w:ascii="宋体" w:eastAsia="宋体"/>
    </w:rPr>
  </w:style>
  <w:style w:type="paragraph" w:customStyle="1" w:styleId="afffffffffff5">
    <w:name w:val="标准文件_引言二级无标题"/>
    <w:basedOn w:val="ae"/>
    <w:next w:val="afffffc"/>
    <w:qFormat/>
    <w:pPr>
      <w:spacing w:beforeLines="0" w:before="0" w:afterLines="0" w:after="0" w:line="276" w:lineRule="auto"/>
    </w:pPr>
    <w:rPr>
      <w:rFonts w:ascii="宋体" w:eastAsia="宋体"/>
    </w:rPr>
  </w:style>
  <w:style w:type="paragraph" w:customStyle="1" w:styleId="afffffffffff6">
    <w:name w:val="标准文件_引言三级无标题"/>
    <w:basedOn w:val="af"/>
    <w:qFormat/>
    <w:pPr>
      <w:spacing w:beforeLines="0" w:before="0" w:afterLines="0" w:after="0" w:line="276" w:lineRule="auto"/>
    </w:pPr>
    <w:rPr>
      <w:rFonts w:ascii="宋体" w:eastAsia="宋体"/>
    </w:rPr>
  </w:style>
  <w:style w:type="paragraph" w:customStyle="1" w:styleId="afffffffffff7">
    <w:name w:val="标准文件_引言四级无标题"/>
    <w:basedOn w:val="af0"/>
    <w:next w:val="afffffc"/>
    <w:qFormat/>
    <w:pPr>
      <w:spacing w:beforeLines="0" w:before="0" w:afterLines="0" w:after="0" w:line="276" w:lineRule="auto"/>
    </w:pPr>
    <w:rPr>
      <w:rFonts w:ascii="宋体" w:eastAsia="宋体"/>
    </w:rPr>
  </w:style>
  <w:style w:type="paragraph" w:customStyle="1" w:styleId="afffffffffff8">
    <w:name w:val="标准文件_引言五级无标题"/>
    <w:basedOn w:val="af1"/>
    <w:next w:val="afffffc"/>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0">
    <w:name w:val="发布"/>
    <w:basedOn w:val="afffc"/>
    <w:qFormat/>
    <w:rPr>
      <w:rFonts w:ascii="黑体" w:eastAsia="黑体"/>
      <w:spacing w:val="85"/>
      <w:w w:val="100"/>
      <w:position w:val="3"/>
      <w:sz w:val="28"/>
      <w:szCs w:val="28"/>
    </w:rPr>
  </w:style>
  <w:style w:type="paragraph" w:customStyle="1" w:styleId="a0">
    <w:name w:val="一级条标题"/>
    <w:next w:val="afffb"/>
    <w:qFormat/>
    <w:pPr>
      <w:numPr>
        <w:ilvl w:val="1"/>
        <w:numId w:val="32"/>
      </w:numPr>
      <w:spacing w:beforeLines="50" w:afterLines="50"/>
      <w:outlineLvl w:val="2"/>
    </w:pPr>
    <w:rPr>
      <w:rFonts w:ascii="黑体" w:eastAsia="黑体"/>
      <w:sz w:val="21"/>
      <w:szCs w:val="21"/>
    </w:rPr>
  </w:style>
  <w:style w:type="paragraph" w:customStyle="1" w:styleId="a">
    <w:name w:val="章标题"/>
    <w:next w:val="afffb"/>
    <w:qFormat/>
    <w:pPr>
      <w:numPr>
        <w:numId w:val="32"/>
      </w:numPr>
      <w:spacing w:beforeLines="100" w:afterLines="100"/>
      <w:jc w:val="both"/>
      <w:outlineLvl w:val="1"/>
    </w:pPr>
    <w:rPr>
      <w:rFonts w:ascii="黑体" w:eastAsia="黑体"/>
      <w:sz w:val="21"/>
    </w:rPr>
  </w:style>
  <w:style w:type="paragraph" w:customStyle="1" w:styleId="a1">
    <w:name w:val="二级条标题"/>
    <w:basedOn w:val="a0"/>
    <w:next w:val="afffb"/>
    <w:qFormat/>
    <w:pPr>
      <w:numPr>
        <w:ilvl w:val="2"/>
      </w:numPr>
      <w:spacing w:before="50" w:after="50"/>
      <w:outlineLvl w:val="3"/>
    </w:pPr>
  </w:style>
  <w:style w:type="paragraph" w:customStyle="1" w:styleId="a2">
    <w:name w:val="三级条标题"/>
    <w:basedOn w:val="a1"/>
    <w:next w:val="afffb"/>
    <w:qFormat/>
    <w:pPr>
      <w:numPr>
        <w:ilvl w:val="3"/>
      </w:numPr>
      <w:outlineLvl w:val="4"/>
    </w:pPr>
  </w:style>
  <w:style w:type="paragraph" w:customStyle="1" w:styleId="a3">
    <w:name w:val="四级条标题"/>
    <w:basedOn w:val="a2"/>
    <w:next w:val="afffb"/>
    <w:qFormat/>
    <w:pPr>
      <w:numPr>
        <w:ilvl w:val="4"/>
      </w:numPr>
      <w:outlineLvl w:val="5"/>
    </w:pPr>
  </w:style>
  <w:style w:type="paragraph" w:customStyle="1" w:styleId="a4">
    <w:name w:val="五级条标题"/>
    <w:basedOn w:val="a3"/>
    <w:next w:val="afffb"/>
    <w:qFormat/>
    <w:pPr>
      <w:numPr>
        <w:ilvl w:val="5"/>
      </w:numPr>
      <w:outlineLvl w:val="6"/>
    </w:pPr>
  </w:style>
  <w:style w:type="paragraph" w:customStyle="1" w:styleId="affffffffffff1">
    <w:name w:val="段"/>
    <w:link w:val="Char0"/>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link w:val="affffffffffff1"/>
    <w:qFormat/>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D8D0D366A34E7FB63AF0105B9560B4"/>
        <w:category>
          <w:name w:val="常规"/>
          <w:gallery w:val="placeholder"/>
        </w:category>
        <w:types>
          <w:type w:val="bbPlcHdr"/>
        </w:types>
        <w:behaviors>
          <w:behavior w:val="content"/>
        </w:behaviors>
        <w:guid w:val="{B63700EE-1C3E-4B28-96FF-C13EBD7DA930}"/>
      </w:docPartPr>
      <w:docPartBody>
        <w:p w:rsidR="00F924DF" w:rsidRDefault="00000000">
          <w:pPr>
            <w:pStyle w:val="56D8D0D366A34E7FB63AF0105B9560B4"/>
            <w:rPr>
              <w:rFonts w:hint="eastAsia"/>
            </w:rPr>
          </w:pPr>
          <w:r>
            <w:rPr>
              <w:rStyle w:val="a3"/>
              <w:rFonts w:hint="eastAsia"/>
            </w:rPr>
            <w:t>单击或点击此处输入文字。</w:t>
          </w:r>
        </w:p>
      </w:docPartBody>
    </w:docPart>
    <w:docPart>
      <w:docPartPr>
        <w:name w:val="B6854DC3004448C1B7E4ABB621FFB187"/>
        <w:category>
          <w:name w:val="常规"/>
          <w:gallery w:val="placeholder"/>
        </w:category>
        <w:types>
          <w:type w:val="bbPlcHdr"/>
        </w:types>
        <w:behaviors>
          <w:behavior w:val="content"/>
        </w:behaviors>
        <w:guid w:val="{60F29711-E552-44BD-8F12-F7C7B3B30800}"/>
      </w:docPartPr>
      <w:docPartBody>
        <w:p w:rsidR="00F924DF" w:rsidRDefault="00000000">
          <w:pPr>
            <w:pStyle w:val="B6854DC3004448C1B7E4ABB621FFB187"/>
            <w:rPr>
              <w:rFonts w:hint="eastAsia"/>
            </w:rPr>
          </w:pPr>
          <w:r>
            <w:rPr>
              <w:rStyle w:val="a3"/>
              <w:rFonts w:hint="eastAsia"/>
            </w:rPr>
            <w:t>选择一项。</w:t>
          </w:r>
        </w:p>
      </w:docPartBody>
    </w:docPart>
    <w:docPart>
      <w:docPartPr>
        <w:name w:val="A3D4EF7179ED42C6A59C48A36674160C"/>
        <w:category>
          <w:name w:val="常规"/>
          <w:gallery w:val="placeholder"/>
        </w:category>
        <w:types>
          <w:type w:val="bbPlcHdr"/>
        </w:types>
        <w:behaviors>
          <w:behavior w:val="content"/>
        </w:behaviors>
        <w:guid w:val="{8F0D5108-28AF-4FE9-A387-E9192DD80A0D}"/>
      </w:docPartPr>
      <w:docPartBody>
        <w:p w:rsidR="00F924DF" w:rsidRDefault="00000000">
          <w:pPr>
            <w:pStyle w:val="A3D4EF7179ED42C6A59C48A36674160C"/>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197D"/>
    <w:rsid w:val="00135F2B"/>
    <w:rsid w:val="00406236"/>
    <w:rsid w:val="0064197D"/>
    <w:rsid w:val="00F92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6D8D0D366A34E7FB63AF0105B9560B4">
    <w:name w:val="56D8D0D366A34E7FB63AF0105B9560B4"/>
    <w:pPr>
      <w:widowControl w:val="0"/>
      <w:jc w:val="both"/>
    </w:pPr>
    <w:rPr>
      <w:kern w:val="2"/>
      <w:sz w:val="21"/>
      <w:szCs w:val="22"/>
    </w:rPr>
  </w:style>
  <w:style w:type="paragraph" w:customStyle="1" w:styleId="B6854DC3004448C1B7E4ABB621FFB187">
    <w:name w:val="B6854DC3004448C1B7E4ABB621FFB187"/>
    <w:pPr>
      <w:widowControl w:val="0"/>
      <w:jc w:val="both"/>
    </w:pPr>
    <w:rPr>
      <w:kern w:val="2"/>
      <w:sz w:val="21"/>
      <w:szCs w:val="22"/>
    </w:rPr>
  </w:style>
  <w:style w:type="paragraph" w:customStyle="1" w:styleId="A3D4EF7179ED42C6A59C48A36674160C">
    <w:name w:val="A3D4EF7179ED42C6A59C48A36674160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4BE334-8808-46AD-A54C-DA021D5CF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0</TotalTime>
  <Pages>14</Pages>
  <Words>2258</Words>
  <Characters>12875</Characters>
  <Application>Microsoft Office Word</Application>
  <DocSecurity>0</DocSecurity>
  <Lines>107</Lines>
  <Paragraphs>30</Paragraphs>
  <ScaleCrop>false</ScaleCrop>
  <Company/>
  <LinksUpToDate>false</LinksUpToDate>
  <CharactersWithSpaces>15103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120-PC</dc:creator>
  <cp:lastModifiedBy>王永东 SNERDI</cp:lastModifiedBy>
  <cp:revision>2</cp:revision>
  <cp:lastPrinted>2021-02-02T08:22:00Z</cp:lastPrinted>
  <dcterms:created xsi:type="dcterms:W3CDTF">2026-06-24T08:05:00Z</dcterms:created>
  <dcterms:modified xsi:type="dcterms:W3CDTF">2026-06-24T08:05:00Z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eyJoZGlkIjoiMzlmOGU3MzFmYmYyY2RlNDI3OTc2ZDhlYTBmMmQ3OWMiLCJ1c2VySWQiOiI1Njc1MTU0OTIifQ==</vt:lpwstr>
  </property>
  <property fmtid="{D5CDD505-2E9C-101B-9397-08002B2CF9AE}" pid="15" name="KSOProductBuildVer">
    <vt:lpwstr>2052-12.1.0.26375</vt:lpwstr>
  </property>
  <property fmtid="{D5CDD505-2E9C-101B-9397-08002B2CF9AE}" pid="16" name="ICV">
    <vt:lpwstr>37B0778331D142EDB511FD13EA9FC9A3_12</vt:lpwstr>
  </property>
</Properties>
</file>